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783" w:rsidRDefault="002C2783">
      <w:pPr>
        <w:jc w:val="center"/>
      </w:pPr>
      <w:bookmarkStart w:id="0" w:name="_GoBack"/>
      <w:bookmarkEnd w:id="0"/>
    </w:p>
    <w:p w:rsidR="002C2783" w:rsidRDefault="000020FF">
      <w:pPr>
        <w:jc w:val="center"/>
      </w:pPr>
      <w:r>
        <w:rPr>
          <w:noProof/>
          <w:lang w:eastAsia="fr-FR" w:bidi="ar-SA"/>
        </w:rPr>
        <w:drawing>
          <wp:inline distT="0" distB="0" distL="0" distR="0">
            <wp:extent cx="1018540" cy="469900"/>
            <wp:effectExtent l="0" t="0" r="0" b="0"/>
            <wp:docPr id="1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783" w:rsidRDefault="002C2783">
      <w:pPr>
        <w:jc w:val="center"/>
        <w:rPr>
          <w:sz w:val="10"/>
          <w:szCs w:val="10"/>
        </w:rPr>
      </w:pPr>
    </w:p>
    <w:p w:rsidR="002C2783" w:rsidRDefault="000020FF" w:rsidP="007059AE">
      <w:pPr>
        <w:pStyle w:val="Corpsdetexte"/>
        <w:spacing w:after="0" w:line="240" w:lineRule="auto"/>
        <w:jc w:val="center"/>
      </w:pPr>
      <w:r>
        <w:rPr>
          <w:noProof/>
          <w:lang w:eastAsia="fr-FR" w:bidi="ar-SA"/>
        </w:rPr>
        <w:drawing>
          <wp:inline distT="0" distB="0" distL="0" distR="0">
            <wp:extent cx="2114550" cy="200025"/>
            <wp:effectExtent l="0" t="0" r="0" b="0"/>
            <wp:docPr id="2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783" w:rsidRDefault="000020FF">
      <w:pPr>
        <w:pStyle w:val="Corpsdetexte"/>
        <w:spacing w:after="0" w:line="240" w:lineRule="auto"/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>FICHE DE POSTE</w:t>
      </w:r>
    </w:p>
    <w:p w:rsidR="002C2783" w:rsidRDefault="000020FF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Tous les postes du Ministère de la culture et de ses établissements</w:t>
      </w:r>
      <w:r>
        <w:rPr>
          <w:b/>
          <w:bCs/>
          <w:sz w:val="21"/>
          <w:szCs w:val="21"/>
        </w:rPr>
        <w:br/>
        <w:t xml:space="preserve"> sont ouverts aux personnes reconnues comme </w:t>
      </w:r>
      <w:proofErr w:type="spellStart"/>
      <w:r>
        <w:rPr>
          <w:b/>
          <w:bCs/>
          <w:sz w:val="21"/>
          <w:szCs w:val="21"/>
        </w:rPr>
        <w:t>travailleur.se.s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handicapé.e.s</w:t>
      </w:r>
      <w:proofErr w:type="spellEnd"/>
    </w:p>
    <w:p w:rsidR="002C2783" w:rsidRDefault="002C2783">
      <w:pPr>
        <w:jc w:val="center"/>
        <w:rPr>
          <w:b/>
          <w:bCs/>
          <w:sz w:val="21"/>
          <w:szCs w:val="21"/>
        </w:rPr>
      </w:pPr>
    </w:p>
    <w:p w:rsidR="002C2783" w:rsidRDefault="000020FF" w:rsidP="007059AE">
      <w:pPr>
        <w:tabs>
          <w:tab w:val="right" w:pos="10348"/>
        </w:tabs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N°</w:t>
      </w:r>
      <w:r w:rsidR="00135459">
        <w:rPr>
          <w:b/>
          <w:bCs/>
          <w:sz w:val="21"/>
          <w:szCs w:val="21"/>
        </w:rPr>
        <w:t>PEP</w:t>
      </w:r>
      <w:r>
        <w:rPr>
          <w:b/>
          <w:bCs/>
          <w:sz w:val="21"/>
          <w:szCs w:val="21"/>
        </w:rPr>
        <w:t xml:space="preserve"> DE DIFFUSION (en cas de republication) :</w:t>
      </w:r>
      <w:r w:rsidR="001B171A">
        <w:rPr>
          <w:b/>
          <w:bCs/>
          <w:sz w:val="21"/>
          <w:szCs w:val="21"/>
        </w:rPr>
        <w:t xml:space="preserve"> </w:t>
      </w:r>
      <w:r w:rsidR="001B171A" w:rsidRPr="001B171A">
        <w:rPr>
          <w:rFonts w:asciiTheme="minorHAnsi" w:hAnsiTheme="minorHAnsi" w:cstheme="minorHAnsi"/>
          <w:b/>
          <w:bCs/>
          <w:sz w:val="28"/>
          <w:szCs w:val="28"/>
        </w:rPr>
        <w:t>2021-680991</w:t>
      </w:r>
      <w:r w:rsidR="007059AE">
        <w:rPr>
          <w:b/>
          <w:bCs/>
          <w:sz w:val="21"/>
          <w:szCs w:val="21"/>
        </w:rPr>
        <w:tab/>
      </w:r>
      <w:r w:rsidR="004F0B67" w:rsidRPr="004F0B67">
        <w:rPr>
          <w:rFonts w:asciiTheme="minorHAnsi" w:hAnsiTheme="minorHAnsi" w:cstheme="minorHAnsi"/>
          <w:bCs/>
          <w:sz w:val="18"/>
          <w:szCs w:val="18"/>
        </w:rPr>
        <w:t>M1036352</w:t>
      </w:r>
    </w:p>
    <w:tbl>
      <w:tblPr>
        <w:tblW w:w="1043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25" w:type="dxa"/>
          <w:right w:w="28" w:type="dxa"/>
        </w:tblCellMar>
        <w:tblLook w:val="0000" w:firstRow="0" w:lastRow="0" w:firstColumn="0" w:lastColumn="0" w:noHBand="0" w:noVBand="0"/>
      </w:tblPr>
      <w:tblGrid>
        <w:gridCol w:w="6326"/>
        <w:gridCol w:w="141"/>
        <w:gridCol w:w="3970"/>
      </w:tblGrid>
      <w:tr w:rsidR="002C2783">
        <w:trPr>
          <w:trHeight w:val="301"/>
        </w:trPr>
        <w:tc>
          <w:tcPr>
            <w:tcW w:w="6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5" w:type="dxa"/>
            </w:tcMar>
          </w:tcPr>
          <w:p w:rsidR="002C2783" w:rsidRDefault="000020FF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Intitulé du poste (F/H)</w:t>
            </w:r>
            <w:r w:rsidR="004F0B6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:</w:t>
            </w:r>
          </w:p>
          <w:p w:rsidR="007059AE" w:rsidRPr="004F0B67" w:rsidRDefault="007059AE">
            <w:pPr>
              <w:pStyle w:val="TableContents"/>
              <w:snapToGrid w:val="0"/>
              <w:rPr>
                <w:b/>
                <w:bCs/>
                <w:sz w:val="12"/>
                <w:szCs w:val="12"/>
              </w:rPr>
            </w:pPr>
          </w:p>
          <w:p w:rsidR="00DB6094" w:rsidRPr="00DB6094" w:rsidRDefault="00DB6094" w:rsidP="00DB6094">
            <w:pPr>
              <w:pStyle w:val="Contenudecadre"/>
              <w:rPr>
                <w:b/>
              </w:rPr>
            </w:pPr>
            <w:r w:rsidRPr="00DB6094">
              <w:rPr>
                <w:b/>
              </w:rPr>
              <w:t xml:space="preserve">Responsable de la garde du site de </w:t>
            </w:r>
            <w:r w:rsidR="001B171A">
              <w:rPr>
                <w:b/>
              </w:rPr>
              <w:t xml:space="preserve">l’ENSA </w:t>
            </w:r>
            <w:r w:rsidRPr="00DB6094">
              <w:rPr>
                <w:b/>
              </w:rPr>
              <w:t>P</w:t>
            </w:r>
            <w:r w:rsidR="001B171A">
              <w:rPr>
                <w:b/>
              </w:rPr>
              <w:t>aris-</w:t>
            </w:r>
            <w:r w:rsidRPr="00DB6094">
              <w:rPr>
                <w:b/>
              </w:rPr>
              <w:t>B</w:t>
            </w:r>
            <w:r w:rsidR="001B171A">
              <w:rPr>
                <w:b/>
              </w:rPr>
              <w:t>elleville</w:t>
            </w:r>
          </w:p>
          <w:p w:rsidR="007059AE" w:rsidRPr="004F0B67" w:rsidRDefault="00DB6094" w:rsidP="004F0B67">
            <w:pPr>
              <w:pStyle w:val="Contenudecadre"/>
              <w:rPr>
                <w:b/>
              </w:rPr>
            </w:pPr>
            <w:r w:rsidRPr="00DB6094">
              <w:rPr>
                <w:b/>
              </w:rPr>
              <w:t>logé(e) en N.A.S.</w:t>
            </w:r>
            <w:r w:rsidRPr="00DB6094">
              <w:rPr>
                <w:rFonts w:ascii="Liberation Sans" w:hAnsi="Liberation Sans" w:cs="Liberation Sans"/>
                <w:b/>
              </w:rPr>
              <w:t xml:space="preserve"> </w:t>
            </w:r>
          </w:p>
        </w:tc>
        <w:tc>
          <w:tcPr>
            <w:tcW w:w="141" w:type="dxa"/>
            <w:tcBorders>
              <w:left w:val="single" w:sz="2" w:space="0" w:color="000000"/>
            </w:tcBorders>
            <w:shd w:val="clear" w:color="auto" w:fill="auto"/>
            <w:tcMar>
              <w:left w:w="25" w:type="dxa"/>
            </w:tcMar>
          </w:tcPr>
          <w:p w:rsidR="002C2783" w:rsidRDefault="002C2783">
            <w:pPr>
              <w:pStyle w:val="TableContents"/>
              <w:snapToGrid w:val="0"/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5" w:type="dxa"/>
            </w:tcMar>
          </w:tcPr>
          <w:p w:rsidR="00DB6094" w:rsidRDefault="00DB6094" w:rsidP="00DB6094">
            <w:pPr>
              <w:pStyle w:val="Contenudecadre"/>
            </w:pPr>
            <w:r>
              <w:t>Catégorie statutaire : B</w:t>
            </w:r>
          </w:p>
          <w:p w:rsidR="00DB6094" w:rsidRDefault="00DB6094" w:rsidP="00DB6094">
            <w:pPr>
              <w:pStyle w:val="Contenudecadre"/>
            </w:pPr>
            <w:r>
              <w:rPr>
                <w:b/>
                <w:bCs/>
              </w:rPr>
              <w:t>Corps</w:t>
            </w:r>
            <w:r>
              <w:t xml:space="preserve"> : technicien des services culturels et des bâtiments de France</w:t>
            </w:r>
          </w:p>
          <w:p w:rsidR="00DB6094" w:rsidRDefault="00DB6094" w:rsidP="00DB6094">
            <w:pPr>
              <w:pStyle w:val="Contenudecadre"/>
            </w:pPr>
            <w:r>
              <w:t>Code corps : TESC</w:t>
            </w:r>
          </w:p>
          <w:p w:rsidR="002C2783" w:rsidRDefault="00DB6094" w:rsidP="004F0B67">
            <w:pPr>
              <w:pStyle w:val="Contenudecadre"/>
            </w:pPr>
            <w:r>
              <w:t>Spécialité : Accueil et surveillance</w:t>
            </w:r>
            <w:r>
              <w:rPr>
                <w:b/>
                <w:bCs/>
              </w:rPr>
              <w:br/>
            </w:r>
            <w:r>
              <w:rPr>
                <w:rFonts w:ascii="Arial" w:hAnsi="Arial" w:cs="Arial"/>
                <w:color w:val="000000"/>
              </w:rPr>
              <w:t xml:space="preserve">Groupe </w:t>
            </w:r>
            <w:r w:rsidR="00A832D6">
              <w:rPr>
                <w:color w:val="000000"/>
              </w:rPr>
              <w:t>RIFSEEP</w:t>
            </w:r>
            <w:r>
              <w:rPr>
                <w:color w:val="000000"/>
              </w:rPr>
              <w:t> : 2</w:t>
            </w:r>
          </w:p>
        </w:tc>
      </w:tr>
    </w:tbl>
    <w:p w:rsidR="002C2783" w:rsidRDefault="002C2783">
      <w:pPr>
        <w:pStyle w:val="TableContents"/>
        <w:rPr>
          <w:sz w:val="12"/>
          <w:szCs w:val="12"/>
        </w:rPr>
      </w:pPr>
    </w:p>
    <w:tbl>
      <w:tblPr>
        <w:tblW w:w="104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25" w:type="dxa"/>
          <w:right w:w="28" w:type="dxa"/>
        </w:tblCellMar>
        <w:tblLook w:val="0000" w:firstRow="0" w:lastRow="0" w:firstColumn="0" w:lastColumn="0" w:noHBand="0" w:noVBand="0"/>
      </w:tblPr>
      <w:tblGrid>
        <w:gridCol w:w="10437"/>
      </w:tblGrid>
      <w:tr w:rsidR="002C2783">
        <w:tc>
          <w:tcPr>
            <w:tcW w:w="10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5" w:type="dxa"/>
            </w:tcMar>
          </w:tcPr>
          <w:p w:rsidR="002C2783" w:rsidRDefault="000020FF" w:rsidP="004F0B67">
            <w:pPr>
              <w:pStyle w:val="NormalWeb"/>
              <w:spacing w:after="0" w:line="240" w:lineRule="auto"/>
            </w:pPr>
            <w:r>
              <w:rPr>
                <w:b/>
                <w:bCs/>
              </w:rPr>
              <w:t xml:space="preserve">Domaine(s) Fonctionnel(s) 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 w:rsidR="004F0B67">
              <w:rPr>
                <w:b/>
                <w:bCs/>
              </w:rPr>
              <w:t xml:space="preserve">Lecture publique et documentation – ex </w:t>
            </w:r>
            <w:r w:rsidR="00DB6094">
              <w:rPr>
                <w:b/>
                <w:bCs/>
              </w:rPr>
              <w:t>Culture et patrimoine</w:t>
            </w:r>
          </w:p>
        </w:tc>
      </w:tr>
    </w:tbl>
    <w:p w:rsidR="002C2783" w:rsidRPr="0092467B" w:rsidRDefault="002C2783">
      <w:pPr>
        <w:pStyle w:val="TableContents"/>
        <w:rPr>
          <w:sz w:val="12"/>
          <w:szCs w:val="12"/>
        </w:rPr>
      </w:pPr>
    </w:p>
    <w:tbl>
      <w:tblPr>
        <w:tblW w:w="104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25" w:type="dxa"/>
          <w:right w:w="28" w:type="dxa"/>
        </w:tblCellMar>
        <w:tblLook w:val="0000" w:firstRow="0" w:lastRow="0" w:firstColumn="0" w:lastColumn="0" w:noHBand="0" w:noVBand="0"/>
      </w:tblPr>
      <w:tblGrid>
        <w:gridCol w:w="10437"/>
      </w:tblGrid>
      <w:tr w:rsidR="002C2783">
        <w:tc>
          <w:tcPr>
            <w:tcW w:w="10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5" w:type="dxa"/>
            </w:tcMar>
          </w:tcPr>
          <w:p w:rsidR="002C2783" w:rsidRDefault="000020FF" w:rsidP="004F0B67">
            <w:pPr>
              <w:pStyle w:val="NormalWeb"/>
              <w:spacing w:after="0" w:line="240" w:lineRule="auto"/>
            </w:pPr>
            <w:r>
              <w:rPr>
                <w:b/>
                <w:bCs/>
              </w:rPr>
              <w:t xml:space="preserve">Emploi(s) Type </w:t>
            </w:r>
            <w:r>
              <w:t xml:space="preserve">: </w:t>
            </w:r>
            <w:r w:rsidR="004F0B67" w:rsidRPr="004F0B67">
              <w:t xml:space="preserve">ERDOC011 </w:t>
            </w:r>
            <w:r w:rsidR="004F0B67">
              <w:t xml:space="preserve">- </w:t>
            </w:r>
            <w:r w:rsidR="004F0B67" w:rsidRPr="004F0B67">
              <w:t xml:space="preserve">Chargé(e) d’encadrement de magasinage, d’accueil et de surveillance </w:t>
            </w:r>
            <w:r w:rsidR="004F0B67">
              <w:t xml:space="preserve">– ex </w:t>
            </w:r>
            <w:r w:rsidR="00DB6094">
              <w:rPr>
                <w:b/>
                <w:bCs/>
                <w:color w:val="000000"/>
              </w:rPr>
              <w:t>Agent d'encadrement de magasinage, d'acc</w:t>
            </w:r>
            <w:r w:rsidR="009B22BD">
              <w:rPr>
                <w:b/>
                <w:bCs/>
                <w:color w:val="000000"/>
              </w:rPr>
              <w:t>ueil et de surveillance – CUL02A</w:t>
            </w:r>
          </w:p>
        </w:tc>
      </w:tr>
    </w:tbl>
    <w:p w:rsidR="002C2783" w:rsidRPr="0092467B" w:rsidRDefault="002C2783">
      <w:pPr>
        <w:pStyle w:val="TableContents"/>
        <w:rPr>
          <w:sz w:val="16"/>
          <w:szCs w:val="16"/>
        </w:rPr>
      </w:pPr>
    </w:p>
    <w:tbl>
      <w:tblPr>
        <w:tblW w:w="104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25" w:type="dxa"/>
          <w:right w:w="28" w:type="dxa"/>
        </w:tblCellMar>
        <w:tblLook w:val="0000" w:firstRow="0" w:lastRow="0" w:firstColumn="0" w:lastColumn="0" w:noHBand="0" w:noVBand="0"/>
      </w:tblPr>
      <w:tblGrid>
        <w:gridCol w:w="10437"/>
      </w:tblGrid>
      <w:tr w:rsidR="002C2783">
        <w:tc>
          <w:tcPr>
            <w:tcW w:w="10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5" w:type="dxa"/>
            </w:tcMar>
          </w:tcPr>
          <w:p w:rsidR="002C2783" w:rsidRDefault="000020FF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Adresse administrative et géographique de l’affectation :</w:t>
            </w:r>
          </w:p>
          <w:p w:rsidR="00DB6094" w:rsidRDefault="00DB6094" w:rsidP="00DB6094">
            <w:pPr>
              <w:pStyle w:val="Contenudecadre"/>
            </w:pPr>
            <w:r>
              <w:t>Ecole Nationale Supérieure d'architecture de Paris-Belleville (</w:t>
            </w:r>
            <w:proofErr w:type="spellStart"/>
            <w:r>
              <w:t>Ensa</w:t>
            </w:r>
            <w:proofErr w:type="spellEnd"/>
            <w:r>
              <w:t>-PB)</w:t>
            </w:r>
          </w:p>
          <w:p w:rsidR="00DB6094" w:rsidRDefault="00DB6094" w:rsidP="00DB6094">
            <w:pPr>
              <w:pStyle w:val="Contenudecadre"/>
            </w:pPr>
            <w:r>
              <w:t>46 et 60 boulevard de la Villette</w:t>
            </w:r>
          </w:p>
          <w:p w:rsidR="0092467B" w:rsidRPr="004F0B67" w:rsidRDefault="00DB6094" w:rsidP="004F0B67">
            <w:pPr>
              <w:pStyle w:val="Contenudecadre"/>
            </w:pPr>
            <w:r>
              <w:t>75019 Paris</w:t>
            </w:r>
          </w:p>
        </w:tc>
      </w:tr>
    </w:tbl>
    <w:p w:rsidR="002C2783" w:rsidRDefault="002C2783">
      <w:pPr>
        <w:pStyle w:val="TableContents"/>
      </w:pPr>
    </w:p>
    <w:tbl>
      <w:tblPr>
        <w:tblW w:w="104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25" w:type="dxa"/>
          <w:right w:w="28" w:type="dxa"/>
        </w:tblCellMar>
        <w:tblLook w:val="0000" w:firstRow="0" w:lastRow="0" w:firstColumn="0" w:lastColumn="0" w:noHBand="0" w:noVBand="0"/>
      </w:tblPr>
      <w:tblGrid>
        <w:gridCol w:w="10437"/>
      </w:tblGrid>
      <w:tr w:rsidR="002C2783">
        <w:tc>
          <w:tcPr>
            <w:tcW w:w="10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5" w:type="dxa"/>
            </w:tcMar>
          </w:tcPr>
          <w:p w:rsidR="002C2783" w:rsidRDefault="000020FF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Missions et activités principales :</w:t>
            </w:r>
          </w:p>
          <w:p w:rsidR="000463DC" w:rsidRDefault="000463DC" w:rsidP="000463DC">
            <w:pPr>
              <w:pStyle w:val="NormalWeb"/>
              <w:spacing w:after="0" w:line="240" w:lineRule="auto"/>
            </w:pPr>
            <w:r>
              <w:rPr>
                <w:rFonts w:ascii="Arial" w:hAnsi="Arial" w:cs="Arial"/>
                <w:u w:val="single"/>
              </w:rPr>
              <w:t>Missions</w:t>
            </w:r>
            <w:r>
              <w:rPr>
                <w:rFonts w:ascii="Arial" w:hAnsi="Arial" w:cs="Arial"/>
              </w:rPr>
              <w:t> :</w:t>
            </w:r>
          </w:p>
          <w:p w:rsidR="000463DC" w:rsidRDefault="000463DC" w:rsidP="000463DC">
            <w:pPr>
              <w:pStyle w:val="NormalWeb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L'</w:t>
            </w:r>
            <w:proofErr w:type="spellStart"/>
            <w:r>
              <w:rPr>
                <w:rFonts w:ascii="Arial" w:hAnsi="Arial" w:cs="Arial"/>
                <w:color w:val="000000"/>
              </w:rPr>
              <w:t>Ensa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-PB est ouverte du lundi au samedi, elle est fermée le dimanche et 8 semaines par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an.Les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fonctions d’accueil, de sécurité et de logistique de l’établissement sont assurées au sein de la direction des ressources humaines et des moyens de fonctionnement de l'</w:t>
            </w:r>
            <w:proofErr w:type="spellStart"/>
            <w:r>
              <w:rPr>
                <w:rFonts w:ascii="Arial" w:hAnsi="Arial" w:cs="Arial"/>
                <w:color w:val="000000"/>
              </w:rPr>
              <w:t>Ensa</w:t>
            </w:r>
            <w:proofErr w:type="spellEnd"/>
            <w:r>
              <w:rPr>
                <w:rFonts w:ascii="Arial" w:hAnsi="Arial" w:cs="Arial"/>
                <w:color w:val="000000"/>
              </w:rPr>
              <w:t>-PB qui compte une quinzaine d’agents.</w:t>
            </w:r>
          </w:p>
          <w:p w:rsidR="000463DC" w:rsidRDefault="000463DC" w:rsidP="000463DC">
            <w:pPr>
              <w:pStyle w:val="NormalWeb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 xml:space="preserve">Sous la responsabilité d'un Ingénieur des services culturels et du patrimoine (ISCP), responsable de l’accueil, de la sécurité et de la logistique, l’équipe d’accueil et de surveillance (composée </w:t>
            </w:r>
            <w:proofErr w:type="gramStart"/>
            <w:r>
              <w:rPr>
                <w:rFonts w:ascii="Arial" w:hAnsi="Arial" w:cs="Arial"/>
                <w:color w:val="000000"/>
              </w:rPr>
              <w:t>d’</w:t>
            </w:r>
            <w:proofErr w:type="spellStart"/>
            <w:r>
              <w:rPr>
                <w:rFonts w:ascii="Arial" w:hAnsi="Arial" w:cs="Arial"/>
                <w:color w:val="000000"/>
              </w:rPr>
              <w:t>un</w:t>
            </w:r>
            <w:r w:rsidR="00022370">
              <w:rPr>
                <w:rFonts w:ascii="Arial" w:hAnsi="Arial" w:cs="Arial"/>
                <w:color w:val="000000"/>
              </w:rPr>
              <w:t>e.un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technicien</w:t>
            </w:r>
            <w:r w:rsidR="00022370">
              <w:rPr>
                <w:rFonts w:ascii="Arial" w:hAnsi="Arial" w:cs="Arial"/>
                <w:color w:val="000000"/>
              </w:rPr>
              <w:t>.ne</w:t>
            </w:r>
            <w:r>
              <w:rPr>
                <w:rFonts w:ascii="Arial" w:hAnsi="Arial" w:cs="Arial"/>
                <w:color w:val="000000"/>
              </w:rPr>
              <w:t xml:space="preserve"> des services culturels (TSC) et d'une dizaine d'agents techniques) est en charge de l'accueil et de la surveillance du site principal (15 000 m²) et de l'annexe (1000 m²) du lundi au samedi de 8h à 22h30 et le samedi de 10h à 18h.</w:t>
            </w:r>
          </w:p>
          <w:p w:rsidR="000463DC" w:rsidRDefault="000463DC" w:rsidP="000463DC">
            <w:pPr>
              <w:pStyle w:val="NormalWeb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 xml:space="preserve">En soirée après 17h et jusqu'à la fermeture de l'établissement ainsi qu'en journée le samedi, </w:t>
            </w:r>
            <w:proofErr w:type="spellStart"/>
            <w:proofErr w:type="gramStart"/>
            <w:r w:rsidR="00022370">
              <w:rPr>
                <w:rFonts w:ascii="Arial" w:hAnsi="Arial" w:cs="Arial"/>
                <w:color w:val="000000"/>
              </w:rPr>
              <w:t>la.</w:t>
            </w:r>
            <w:r>
              <w:rPr>
                <w:rFonts w:ascii="Arial" w:hAnsi="Arial" w:cs="Arial"/>
                <w:color w:val="000000"/>
              </w:rPr>
              <w:t>le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TSC est responsable de la garde du site assure l'accueil et la surveillance du site principal et supervise l'annexe avec les agents du soir qu'elle/il encadre directement.</w:t>
            </w:r>
          </w:p>
          <w:p w:rsidR="000463DC" w:rsidRDefault="000463DC" w:rsidP="000463DC">
            <w:pPr>
              <w:pStyle w:val="NormalWeb"/>
              <w:spacing w:after="0" w:line="240" w:lineRule="auto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L</w:t>
            </w:r>
            <w:r w:rsidR="00022370">
              <w:rPr>
                <w:rFonts w:ascii="Arial" w:hAnsi="Arial" w:cs="Arial"/>
                <w:color w:val="000000"/>
              </w:rPr>
              <w:t>a.l</w:t>
            </w:r>
            <w:r>
              <w:rPr>
                <w:rFonts w:ascii="Arial" w:hAnsi="Arial" w:cs="Arial"/>
                <w:color w:val="000000"/>
              </w:rPr>
              <w:t>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responsable de la garde du site est </w:t>
            </w:r>
            <w:proofErr w:type="spellStart"/>
            <w:r>
              <w:rPr>
                <w:rFonts w:ascii="Arial" w:hAnsi="Arial" w:cs="Arial"/>
                <w:color w:val="000000"/>
              </w:rPr>
              <w:t>tenu</w:t>
            </w:r>
            <w:r w:rsidR="00022370">
              <w:rPr>
                <w:rFonts w:ascii="Arial" w:hAnsi="Arial" w:cs="Arial"/>
                <w:color w:val="000000"/>
              </w:rPr>
              <w:t>.e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d'accomplir un service d'astreinte, il bénéficie d'un logement par nécessité absolue de service. L'astreinte est une position de simple présence, d'attente passée dans le logement ou à proximité permettant à l'agent d'être en mesure d'intervenir sur les équipements rapidement. Par ailleurs l’établissement est équipé d’un système de télésurveillance sur les 2 sites.</w:t>
            </w:r>
          </w:p>
          <w:p w:rsidR="000463DC" w:rsidRDefault="000463DC" w:rsidP="000463DC">
            <w:pPr>
              <w:pStyle w:val="NormalWeb"/>
              <w:spacing w:after="0" w:line="240" w:lineRule="auto"/>
            </w:pPr>
            <w:r>
              <w:rPr>
                <w:rFonts w:ascii="Arial" w:hAnsi="Arial" w:cs="Arial"/>
                <w:color w:val="000000"/>
                <w:u w:val="single"/>
              </w:rPr>
              <w:t>Activités </w:t>
            </w:r>
            <w:r w:rsidR="004F0B67">
              <w:rPr>
                <w:rFonts w:ascii="Arial" w:hAnsi="Arial" w:cs="Arial"/>
                <w:color w:val="000000"/>
                <w:u w:val="single"/>
              </w:rPr>
              <w:t>principales :</w:t>
            </w:r>
          </w:p>
          <w:p w:rsidR="000463DC" w:rsidRDefault="004F0B67" w:rsidP="000463DC">
            <w:pPr>
              <w:pStyle w:val="NormalWeb"/>
              <w:spacing w:after="0" w:line="240" w:lineRule="auto"/>
            </w:pPr>
            <w:r>
              <w:rPr>
                <w:rFonts w:ascii="Arial" w:hAnsi="Arial" w:cs="Arial"/>
                <w:color w:val="000000"/>
                <w:u w:val="single"/>
              </w:rPr>
              <w:t>Accueil</w:t>
            </w:r>
            <w:r w:rsidR="000463DC">
              <w:rPr>
                <w:rFonts w:ascii="Arial" w:hAnsi="Arial" w:cs="Arial"/>
                <w:color w:val="000000"/>
                <w:u w:val="single"/>
              </w:rPr>
              <w:t xml:space="preserve"> du public</w:t>
            </w:r>
            <w:r w:rsidR="000463DC">
              <w:rPr>
                <w:rFonts w:ascii="Arial" w:hAnsi="Arial" w:cs="Arial"/>
                <w:color w:val="000000"/>
              </w:rPr>
              <w:t>,</w:t>
            </w:r>
          </w:p>
          <w:p w:rsidR="000463DC" w:rsidRDefault="004F0B67" w:rsidP="000463DC">
            <w:pPr>
              <w:pStyle w:val="NormalWeb"/>
              <w:spacing w:after="0" w:line="240" w:lineRule="auto"/>
            </w:pPr>
            <w:r>
              <w:rPr>
                <w:rFonts w:ascii="Arial" w:hAnsi="Arial" w:cs="Arial"/>
                <w:color w:val="000000"/>
                <w:u w:val="single"/>
              </w:rPr>
              <w:t>Surveillance</w:t>
            </w:r>
            <w:r>
              <w:rPr>
                <w:rFonts w:ascii="Arial" w:hAnsi="Arial" w:cs="Arial"/>
                <w:color w:val="000000"/>
              </w:rPr>
              <w:t xml:space="preserve"> :</w:t>
            </w:r>
            <w:r w:rsidR="000463DC">
              <w:rPr>
                <w:rFonts w:ascii="Arial" w:hAnsi="Arial" w:cs="Arial"/>
                <w:color w:val="000000"/>
              </w:rPr>
              <w:t xml:space="preserve"> contrôle des accès, de la baie SSI, gestion des éclairages, rondes de surveillance, tenue de la main courante, fermeture de l'Ecole et de l'annexe, activation des </w:t>
            </w:r>
            <w:proofErr w:type="gramStart"/>
            <w:r w:rsidR="000463DC">
              <w:rPr>
                <w:rFonts w:ascii="Arial" w:hAnsi="Arial" w:cs="Arial"/>
                <w:color w:val="000000"/>
              </w:rPr>
              <w:t>alarmes....</w:t>
            </w:r>
            <w:proofErr w:type="gramEnd"/>
            <w:r w:rsidR="000463DC">
              <w:rPr>
                <w:rFonts w:ascii="Arial" w:hAnsi="Arial" w:cs="Arial"/>
                <w:color w:val="000000"/>
              </w:rPr>
              <w:t>,</w:t>
            </w:r>
          </w:p>
          <w:p w:rsidR="000463DC" w:rsidRDefault="004F0B67" w:rsidP="000463DC">
            <w:pPr>
              <w:pStyle w:val="NormalWeb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lastRenderedPageBreak/>
              <w:t>Coordination</w:t>
            </w:r>
            <w:r w:rsidR="000463DC">
              <w:rPr>
                <w:rFonts w:ascii="Arial" w:hAnsi="Arial" w:cs="Arial"/>
                <w:color w:val="000000"/>
              </w:rPr>
              <w:t xml:space="preserve"> de l'équipe du soir et du samedi, des périodes de fermeture, organisation des emplois du temps, pour le site principal et pour l'annexe....</w:t>
            </w:r>
          </w:p>
          <w:p w:rsidR="009B22BD" w:rsidRDefault="004F0B67" w:rsidP="000463DC">
            <w:pPr>
              <w:pStyle w:val="NormalWeb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Fonctions</w:t>
            </w:r>
            <w:r w:rsidR="009B22BD">
              <w:rPr>
                <w:rFonts w:ascii="Arial" w:hAnsi="Arial" w:cs="Arial"/>
                <w:color w:val="000000"/>
              </w:rPr>
              <w:t xml:space="preserve"> de sécurité : en collaboration avec l’ISCP, veiller au respect de la bonne application des règlementations en matière de sécurité des locaux et des personnes.</w:t>
            </w:r>
          </w:p>
          <w:p w:rsidR="000463DC" w:rsidRDefault="004F0B67" w:rsidP="000463DC">
            <w:pPr>
              <w:pStyle w:val="NormalWeb"/>
              <w:spacing w:after="0" w:line="240" w:lineRule="auto"/>
            </w:pPr>
            <w:r>
              <w:rPr>
                <w:rFonts w:ascii="Arial" w:hAnsi="Arial" w:cs="Arial"/>
                <w:u w:val="single"/>
              </w:rPr>
              <w:t>Suivi</w:t>
            </w:r>
            <w:r w:rsidR="000463DC">
              <w:rPr>
                <w:rFonts w:ascii="Arial" w:hAnsi="Arial" w:cs="Arial"/>
                <w:u w:val="single"/>
              </w:rPr>
              <w:t xml:space="preserve"> des intervenants extérieurs le samedi et durant les périodes de fermeture de l'Ecole :</w:t>
            </w:r>
            <w:r w:rsidR="000463DC">
              <w:rPr>
                <w:rFonts w:ascii="Arial" w:hAnsi="Arial" w:cs="Arial"/>
              </w:rPr>
              <w:t xml:space="preserve"> consignes aux équipes d'entretien, de nettoyage des locaux, de maintenance, d'ouvr</w:t>
            </w:r>
            <w:r>
              <w:rPr>
                <w:rFonts w:ascii="Arial" w:hAnsi="Arial" w:cs="Arial"/>
              </w:rPr>
              <w:t xml:space="preserve">iers qui réalisent des travaux </w:t>
            </w:r>
          </w:p>
          <w:p w:rsidR="000463DC" w:rsidRDefault="004F0B67" w:rsidP="000463DC">
            <w:pPr>
              <w:pStyle w:val="NormalWeb"/>
              <w:spacing w:after="0" w:line="240" w:lineRule="auto"/>
            </w:pPr>
            <w:r>
              <w:rPr>
                <w:rFonts w:ascii="Arial" w:hAnsi="Arial" w:cs="Arial"/>
                <w:u w:val="single"/>
              </w:rPr>
              <w:t>Manifestations</w:t>
            </w:r>
            <w:r w:rsidR="000463DC">
              <w:rPr>
                <w:rFonts w:ascii="Arial" w:hAnsi="Arial" w:cs="Arial"/>
              </w:rPr>
              <w:t xml:space="preserve"> : </w:t>
            </w:r>
            <w:r w:rsidR="000463DC">
              <w:rPr>
                <w:rFonts w:ascii="Arial" w:hAnsi="Arial" w:cs="Arial"/>
                <w:color w:val="000000"/>
              </w:rPr>
              <w:t xml:space="preserve">participation au bon déroulement des manifestations </w:t>
            </w:r>
            <w:r w:rsidR="000463DC">
              <w:rPr>
                <w:rFonts w:ascii="Arial" w:hAnsi="Arial" w:cs="Arial"/>
              </w:rPr>
              <w:t xml:space="preserve">organisées sur le site en soirée ou le samedi (inaugurations, colloques, conférences, journées portes ouvertes, test </w:t>
            </w:r>
            <w:r>
              <w:rPr>
                <w:rFonts w:ascii="Arial" w:hAnsi="Arial" w:cs="Arial"/>
              </w:rPr>
              <w:t>d’entrée…</w:t>
            </w:r>
            <w:r w:rsidR="000463DC">
              <w:rPr>
                <w:rFonts w:ascii="Arial" w:hAnsi="Arial" w:cs="Arial"/>
              </w:rPr>
              <w:t>)</w:t>
            </w:r>
            <w:r w:rsidR="009B22BD">
              <w:rPr>
                <w:rFonts w:ascii="Arial" w:hAnsi="Arial" w:cs="Arial"/>
              </w:rPr>
              <w:t xml:space="preserve"> et organisation de la surveillance des évènements.</w:t>
            </w:r>
          </w:p>
          <w:p w:rsidR="002C2783" w:rsidRDefault="000463DC" w:rsidP="004F0B67">
            <w:pPr>
              <w:pStyle w:val="NormalWeb"/>
              <w:spacing w:after="0" w:line="240" w:lineRule="auto"/>
            </w:pPr>
            <w:r>
              <w:rPr>
                <w:rFonts w:ascii="Arial" w:hAnsi="Arial" w:cs="Arial"/>
                <w:u w:val="single"/>
              </w:rPr>
              <w:t>intendance</w:t>
            </w:r>
            <w:r>
              <w:rPr>
                <w:rFonts w:ascii="Arial" w:hAnsi="Arial" w:cs="Arial"/>
              </w:rPr>
              <w:t> : badges d'accès et clés (gestion des stocks, remise et récupération, mise à jour des données dans les logiciels des badges et des clés, attribution des boîtes aux lettres aux enseignants…).</w:t>
            </w:r>
          </w:p>
        </w:tc>
      </w:tr>
    </w:tbl>
    <w:p w:rsidR="002C2783" w:rsidRDefault="002C2783">
      <w:pPr>
        <w:pStyle w:val="TableContents"/>
      </w:pPr>
    </w:p>
    <w:tbl>
      <w:tblPr>
        <w:tblW w:w="104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25" w:type="dxa"/>
          <w:right w:w="28" w:type="dxa"/>
        </w:tblCellMar>
        <w:tblLook w:val="0000" w:firstRow="0" w:lastRow="0" w:firstColumn="0" w:lastColumn="0" w:noHBand="0" w:noVBand="0"/>
      </w:tblPr>
      <w:tblGrid>
        <w:gridCol w:w="10437"/>
      </w:tblGrid>
      <w:tr w:rsidR="002C2783">
        <w:tc>
          <w:tcPr>
            <w:tcW w:w="10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5" w:type="dxa"/>
            </w:tcMar>
          </w:tcPr>
          <w:p w:rsidR="002C2783" w:rsidRDefault="000020FF">
            <w:pPr>
              <w:pStyle w:val="TableContents"/>
              <w:snapToGrid w:val="0"/>
            </w:pPr>
            <w:r>
              <w:rPr>
                <w:b/>
                <w:bCs/>
              </w:rPr>
              <w:t xml:space="preserve">Compétences principales mises en œuvre : </w:t>
            </w:r>
            <w:r>
              <w:rPr>
                <w:b/>
                <w:bCs/>
                <w:sz w:val="16"/>
                <w:szCs w:val="16"/>
              </w:rPr>
              <w:t>(cotés  sur 4 niveaux initié – pratique – maîtrise - expert)</w:t>
            </w:r>
          </w:p>
        </w:tc>
      </w:tr>
      <w:tr w:rsidR="002C2783">
        <w:tc>
          <w:tcPr>
            <w:tcW w:w="10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5" w:type="dxa"/>
            </w:tcMar>
          </w:tcPr>
          <w:p w:rsidR="002C2783" w:rsidRDefault="000020FF">
            <w:pPr>
              <w:pStyle w:val="TableContents"/>
              <w:snapToGri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Compétences techniques :</w:t>
            </w:r>
          </w:p>
          <w:p w:rsidR="000463DC" w:rsidRDefault="000463DC" w:rsidP="000463DC">
            <w:pPr>
              <w:pStyle w:val="Contenudecadre"/>
              <w:numPr>
                <w:ilvl w:val="0"/>
                <w:numId w:val="2"/>
              </w:numPr>
            </w:pPr>
            <w:proofErr w:type="gramStart"/>
            <w:r>
              <w:rPr>
                <w:sz w:val="22"/>
                <w:szCs w:val="22"/>
              </w:rPr>
              <w:t>connaissance</w:t>
            </w:r>
            <w:proofErr w:type="gramEnd"/>
            <w:r>
              <w:t xml:space="preserve"> des logiciels bureautiques (Word, Excel)</w:t>
            </w:r>
          </w:p>
          <w:p w:rsidR="000463DC" w:rsidRDefault="000463DC" w:rsidP="000463DC">
            <w:pPr>
              <w:pStyle w:val="Contenudecadre"/>
              <w:numPr>
                <w:ilvl w:val="0"/>
                <w:numId w:val="2"/>
              </w:numPr>
            </w:pPr>
            <w:proofErr w:type="gramStart"/>
            <w:r>
              <w:t>titulaire</w:t>
            </w:r>
            <w:proofErr w:type="gramEnd"/>
            <w:r>
              <w:t xml:space="preserve"> du SSIAP1 ou équivalent</w:t>
            </w:r>
          </w:p>
          <w:p w:rsidR="000463DC" w:rsidRDefault="000463DC" w:rsidP="000463DC">
            <w:pPr>
              <w:pStyle w:val="Contenudecadre"/>
              <w:numPr>
                <w:ilvl w:val="0"/>
                <w:numId w:val="2"/>
              </w:numPr>
            </w:pPr>
            <w:proofErr w:type="gramStart"/>
            <w:r>
              <w:t>bonne</w:t>
            </w:r>
            <w:proofErr w:type="gramEnd"/>
            <w:r>
              <w:t xml:space="preserve"> connaissance des règles d'hygiène et de sécurité dans un ERP</w:t>
            </w:r>
          </w:p>
          <w:p w:rsidR="002C2783" w:rsidRDefault="002C2783">
            <w:pPr>
              <w:pStyle w:val="TableContents"/>
            </w:pPr>
          </w:p>
        </w:tc>
      </w:tr>
      <w:tr w:rsidR="002C2783">
        <w:tc>
          <w:tcPr>
            <w:tcW w:w="10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5" w:type="dxa"/>
            </w:tcMar>
          </w:tcPr>
          <w:p w:rsidR="002C2783" w:rsidRPr="004F0B67" w:rsidRDefault="000020FF" w:rsidP="004F0B67">
            <w:pPr>
              <w:pStyle w:val="TableContents"/>
              <w:snapToGri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Savoir-faire</w:t>
            </w:r>
          </w:p>
          <w:p w:rsidR="000463DC" w:rsidRDefault="000463DC" w:rsidP="000463DC">
            <w:pPr>
              <w:pStyle w:val="Contenudecadre"/>
              <w:numPr>
                <w:ilvl w:val="0"/>
                <w:numId w:val="3"/>
              </w:numPr>
            </w:pPr>
            <w:proofErr w:type="gramStart"/>
            <w:r>
              <w:t>capacité</w:t>
            </w:r>
            <w:proofErr w:type="gramEnd"/>
            <w:r>
              <w:t xml:space="preserve"> d’adaptation,</w:t>
            </w:r>
          </w:p>
          <w:p w:rsidR="000463DC" w:rsidRDefault="000463DC" w:rsidP="000463DC">
            <w:pPr>
              <w:pStyle w:val="Contenudecadre"/>
              <w:numPr>
                <w:ilvl w:val="0"/>
                <w:numId w:val="3"/>
              </w:numPr>
            </w:pPr>
            <w:proofErr w:type="gramStart"/>
            <w:r>
              <w:t>capacité</w:t>
            </w:r>
            <w:proofErr w:type="gramEnd"/>
            <w:r>
              <w:t xml:space="preserve"> à organiser, planifier et prioriser,</w:t>
            </w:r>
          </w:p>
          <w:p w:rsidR="000463DC" w:rsidRDefault="000463DC" w:rsidP="000463DC">
            <w:pPr>
              <w:pStyle w:val="Contenudecadre"/>
              <w:numPr>
                <w:ilvl w:val="0"/>
                <w:numId w:val="3"/>
              </w:numPr>
            </w:pPr>
            <w:proofErr w:type="gramStart"/>
            <w:r>
              <w:t>autonomie</w:t>
            </w:r>
            <w:proofErr w:type="gramEnd"/>
            <w:r>
              <w:t xml:space="preserve"> et initiative</w:t>
            </w:r>
          </w:p>
          <w:p w:rsidR="002C2783" w:rsidRDefault="002C2783">
            <w:pPr>
              <w:pStyle w:val="TableContents"/>
              <w:rPr>
                <w:u w:val="single"/>
              </w:rPr>
            </w:pPr>
          </w:p>
        </w:tc>
      </w:tr>
      <w:tr w:rsidR="002C2783">
        <w:tc>
          <w:tcPr>
            <w:tcW w:w="10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5" w:type="dxa"/>
            </w:tcMar>
          </w:tcPr>
          <w:p w:rsidR="000463DC" w:rsidRDefault="000020FF" w:rsidP="004F0B67">
            <w:pPr>
              <w:pStyle w:val="TableContents"/>
              <w:snapToGrid w:val="0"/>
            </w:pPr>
            <w:r>
              <w:rPr>
                <w:b/>
                <w:bCs/>
                <w:u w:val="single"/>
              </w:rPr>
              <w:t>Savoir-être</w:t>
            </w:r>
            <w:r w:rsidRPr="007059AE">
              <w:rPr>
                <w:b/>
                <w:bCs/>
              </w:rPr>
              <w:t xml:space="preserve"> </w:t>
            </w:r>
            <w:r w:rsidRPr="007059AE">
              <w:rPr>
                <w:b/>
                <w:bCs/>
                <w:sz w:val="16"/>
                <w:szCs w:val="16"/>
              </w:rPr>
              <w:t>(compétences comportementales)</w:t>
            </w:r>
          </w:p>
          <w:p w:rsidR="000463DC" w:rsidRDefault="000463DC" w:rsidP="000463DC">
            <w:pPr>
              <w:pStyle w:val="Contenudecadre"/>
              <w:numPr>
                <w:ilvl w:val="0"/>
                <w:numId w:val="3"/>
              </w:numPr>
            </w:pPr>
            <w:proofErr w:type="gramStart"/>
            <w:r>
              <w:t>réactivité</w:t>
            </w:r>
            <w:proofErr w:type="gramEnd"/>
            <w:r>
              <w:t>,</w:t>
            </w:r>
          </w:p>
          <w:p w:rsidR="000463DC" w:rsidRDefault="000463DC" w:rsidP="000463DC">
            <w:pPr>
              <w:pStyle w:val="Contenudecadre"/>
              <w:numPr>
                <w:ilvl w:val="0"/>
                <w:numId w:val="3"/>
              </w:numPr>
            </w:pPr>
            <w:proofErr w:type="gramStart"/>
            <w:r>
              <w:t>sens</w:t>
            </w:r>
            <w:proofErr w:type="gramEnd"/>
            <w:r>
              <w:t xml:space="preserve"> des relations humaines,</w:t>
            </w:r>
          </w:p>
          <w:p w:rsidR="000463DC" w:rsidRDefault="000463DC" w:rsidP="000463DC">
            <w:pPr>
              <w:pStyle w:val="Contenudecadre"/>
              <w:numPr>
                <w:ilvl w:val="0"/>
                <w:numId w:val="3"/>
              </w:numPr>
            </w:pPr>
            <w:proofErr w:type="gramStart"/>
            <w:r>
              <w:t>discrétion</w:t>
            </w:r>
            <w:proofErr w:type="gramEnd"/>
            <w:r>
              <w:t>, courtoisie,</w:t>
            </w:r>
          </w:p>
          <w:p w:rsidR="000463DC" w:rsidRDefault="000463DC" w:rsidP="000463DC">
            <w:pPr>
              <w:pStyle w:val="Contenudecadre"/>
              <w:numPr>
                <w:ilvl w:val="0"/>
                <w:numId w:val="3"/>
              </w:numPr>
            </w:pPr>
            <w:proofErr w:type="gramStart"/>
            <w:r>
              <w:t>grande</w:t>
            </w:r>
            <w:proofErr w:type="gramEnd"/>
            <w:r>
              <w:t xml:space="preserve"> disponibilité, ponctualité,</w:t>
            </w:r>
          </w:p>
          <w:p w:rsidR="002C2783" w:rsidRDefault="000463DC" w:rsidP="000463DC">
            <w:pPr>
              <w:pStyle w:val="Contenudecadre"/>
              <w:numPr>
                <w:ilvl w:val="0"/>
                <w:numId w:val="3"/>
              </w:numPr>
            </w:pPr>
            <w:r>
              <w:t>sens du service publique.</w:t>
            </w:r>
          </w:p>
        </w:tc>
      </w:tr>
    </w:tbl>
    <w:p w:rsidR="002C2783" w:rsidRDefault="002C2783">
      <w:pPr>
        <w:pStyle w:val="TableContents"/>
      </w:pPr>
    </w:p>
    <w:tbl>
      <w:tblPr>
        <w:tblW w:w="104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25" w:type="dxa"/>
          <w:right w:w="28" w:type="dxa"/>
        </w:tblCellMar>
        <w:tblLook w:val="0000" w:firstRow="0" w:lastRow="0" w:firstColumn="0" w:lastColumn="0" w:noHBand="0" w:noVBand="0"/>
      </w:tblPr>
      <w:tblGrid>
        <w:gridCol w:w="10437"/>
      </w:tblGrid>
      <w:tr w:rsidR="002C2783">
        <w:tc>
          <w:tcPr>
            <w:tcW w:w="10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5" w:type="dxa"/>
            </w:tcMar>
          </w:tcPr>
          <w:p w:rsidR="00DB6094" w:rsidRDefault="00DB6094" w:rsidP="00DB6094">
            <w:pPr>
              <w:pStyle w:val="NormalWeb"/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</w:t>
            </w:r>
            <w:r>
              <w:rPr>
                <w:rFonts w:ascii="paris-belleville" w:hAnsi="paris-belleville"/>
                <w:b/>
                <w:bCs/>
                <w:sz w:val="22"/>
                <w:szCs w:val="22"/>
                <w:u w:val="single"/>
              </w:rPr>
              <w:t>nvironnement professionnel :</w:t>
            </w:r>
          </w:p>
          <w:p w:rsidR="00DB6094" w:rsidRDefault="00DB6094" w:rsidP="00DB6094">
            <w:pPr>
              <w:pStyle w:val="NormalWeb"/>
              <w:spacing w:after="0" w:line="240" w:lineRule="auto"/>
            </w:pPr>
            <w:r>
              <w:rPr>
                <w:rFonts w:ascii="Arial" w:hAnsi="Arial" w:cs="Arial"/>
              </w:rPr>
              <w:t>L'</w:t>
            </w:r>
            <w:proofErr w:type="spellStart"/>
            <w:r>
              <w:rPr>
                <w:rFonts w:ascii="Arial" w:hAnsi="Arial" w:cs="Arial"/>
              </w:rPr>
              <w:t>Ensa</w:t>
            </w:r>
            <w:proofErr w:type="spellEnd"/>
            <w:r>
              <w:rPr>
                <w:rFonts w:ascii="Arial" w:hAnsi="Arial" w:cs="Arial"/>
              </w:rPr>
              <w:t xml:space="preserve">-Paris-Belleville est un établissement d'enseignement supérieur relevant du ministère de la culture. Elle est membre associé de l’Université Paris-Est (UPE), </w:t>
            </w:r>
            <w:r>
              <w:rPr>
                <w:rFonts w:ascii="Arial" w:hAnsi="Arial" w:cs="Arial"/>
                <w:color w:val="000000"/>
              </w:rPr>
              <w:t>une communauté d’universités et de grandes écoles qui regroupe universités, écoles d‘architecture et d’ingénieurs, centres de recherche… travaillant notamment sur la question de la ville. </w:t>
            </w:r>
          </w:p>
          <w:p w:rsidR="00DB6094" w:rsidRDefault="00DB6094" w:rsidP="00DB6094">
            <w:pPr>
              <w:pStyle w:val="NormalWeb"/>
              <w:spacing w:after="0" w:line="240" w:lineRule="auto"/>
            </w:pPr>
            <w:r>
              <w:rPr>
                <w:rFonts w:ascii="Arial" w:hAnsi="Arial" w:cs="Arial"/>
              </w:rPr>
              <w:t>Elle accueille environ 1100 étudiants qui sont encadrés par plus de 200 enseignants titulaires et contractuels. L’équipe administrative et technique est composée d'une soixantaine de personnes.</w:t>
            </w:r>
          </w:p>
          <w:p w:rsidR="00DB6094" w:rsidRDefault="00DB6094" w:rsidP="00DB6094">
            <w:pPr>
              <w:pStyle w:val="NormalWeb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Dans le cadre de sa stratégie de Responsabilité Sociale des Organisations (RSO), le ministère de la Culture et ses établissements publics s’engagent à promouvoir l’égalité professionnelle et la prévention des discriminations dans leurs activités de recrutement. Une cellule d’écoute, d’alerte et de traitement est mise à la disposition des candidats ou des agents qui estimeraient avoir fait l’objet d’une rupture d’égalité de traitemen</w:t>
            </w:r>
            <w:r>
              <w:rPr>
                <w:rFonts w:ascii="Arial" w:hAnsi="Arial" w:cs="Arial"/>
                <w:sz w:val="20"/>
                <w:szCs w:val="20"/>
              </w:rPr>
              <w:t>t.</w:t>
            </w:r>
          </w:p>
          <w:p w:rsidR="00DB6094" w:rsidRDefault="00DB6094" w:rsidP="004F0B67">
            <w:pPr>
              <w:pStyle w:val="NormalWeb"/>
              <w:spacing w:before="0" w:beforeAutospacing="0" w:after="0" w:line="240" w:lineRule="auto"/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Liaisons hiérarchiques :</w:t>
            </w:r>
          </w:p>
          <w:p w:rsidR="00DB6094" w:rsidRDefault="00DB6094" w:rsidP="004F0B67">
            <w:pPr>
              <w:pStyle w:val="NormalWeb"/>
              <w:spacing w:before="0" w:beforeAutospacing="0" w:after="0" w:line="240" w:lineRule="auto"/>
            </w:pPr>
            <w:r>
              <w:rPr>
                <w:rFonts w:ascii="Arial" w:hAnsi="Arial" w:cs="Arial"/>
              </w:rPr>
              <w:t>Le directeur et la directrice adjointe, la directrice des ressources humaines et des moyens de fonctionnement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52BE1" w:rsidRDefault="00752BE1" w:rsidP="004F0B67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752BE1" w:rsidRDefault="00752BE1" w:rsidP="004F0B67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DB6094" w:rsidRDefault="00DB6094" w:rsidP="004F0B67">
            <w:pPr>
              <w:pStyle w:val="NormalWeb"/>
              <w:spacing w:before="0" w:beforeAutospacing="0" w:after="0" w:line="240" w:lineRule="auto"/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Liaisons fonctionnelles :</w:t>
            </w:r>
          </w:p>
          <w:p w:rsidR="002C2783" w:rsidRDefault="00DB6094" w:rsidP="004F0B67">
            <w:pPr>
              <w:pStyle w:val="NormalWeb"/>
              <w:spacing w:before="0" w:beforeAutospacing="0" w:after="0" w:line="240" w:lineRule="auto"/>
            </w:pPr>
            <w:r>
              <w:rPr>
                <w:rFonts w:ascii="Arial" w:hAnsi="Arial" w:cs="Arial"/>
              </w:rPr>
              <w:t>Etroite collaboration avec l’ISCP responsable de l’accueil et de la logistique et l’ensemble des services de l’Ecole.</w:t>
            </w:r>
          </w:p>
        </w:tc>
      </w:tr>
    </w:tbl>
    <w:p w:rsidR="002C2783" w:rsidRDefault="002C2783">
      <w:pPr>
        <w:pStyle w:val="TableContents"/>
      </w:pPr>
    </w:p>
    <w:tbl>
      <w:tblPr>
        <w:tblW w:w="104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25" w:type="dxa"/>
          <w:right w:w="28" w:type="dxa"/>
        </w:tblCellMar>
        <w:tblLook w:val="0000" w:firstRow="0" w:lastRow="0" w:firstColumn="0" w:lastColumn="0" w:noHBand="0" w:noVBand="0"/>
      </w:tblPr>
      <w:tblGrid>
        <w:gridCol w:w="10437"/>
      </w:tblGrid>
      <w:tr w:rsidR="002C2783">
        <w:tc>
          <w:tcPr>
            <w:tcW w:w="10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5" w:type="dxa"/>
            </w:tcMar>
          </w:tcPr>
          <w:p w:rsidR="002C2783" w:rsidRDefault="000020FF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Perspectives d'évolution :</w:t>
            </w:r>
          </w:p>
        </w:tc>
      </w:tr>
    </w:tbl>
    <w:p w:rsidR="002C2783" w:rsidRDefault="002C2783">
      <w:pPr>
        <w:pStyle w:val="TableContents"/>
      </w:pPr>
    </w:p>
    <w:tbl>
      <w:tblPr>
        <w:tblW w:w="104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25" w:type="dxa"/>
          <w:right w:w="28" w:type="dxa"/>
        </w:tblCellMar>
        <w:tblLook w:val="0000" w:firstRow="0" w:lastRow="0" w:firstColumn="0" w:lastColumn="0" w:noHBand="0" w:noVBand="0"/>
      </w:tblPr>
      <w:tblGrid>
        <w:gridCol w:w="10437"/>
      </w:tblGrid>
      <w:tr w:rsidR="002C2783">
        <w:tc>
          <w:tcPr>
            <w:tcW w:w="10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5" w:type="dxa"/>
            </w:tcMar>
          </w:tcPr>
          <w:p w:rsidR="002C2783" w:rsidRDefault="000020FF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Spécificités du poste / Contraintes / Sujétions :</w:t>
            </w:r>
          </w:p>
          <w:p w:rsidR="006F6C65" w:rsidRDefault="006F6C65" w:rsidP="006F6C65">
            <w:pPr>
              <w:pStyle w:val="Contenudecadre"/>
            </w:pPr>
            <w:r>
              <w:t xml:space="preserve">Contraintes et astreintes liées au bénéfice d'un logement (duplex de 4 pièces) en nécessité absolue de service dans une </w:t>
            </w:r>
            <w:proofErr w:type="spellStart"/>
            <w:r>
              <w:t>Ensa</w:t>
            </w:r>
            <w:proofErr w:type="spellEnd"/>
            <w:r>
              <w:t>.</w:t>
            </w:r>
          </w:p>
          <w:p w:rsidR="006F6C65" w:rsidRDefault="006F6C65" w:rsidP="006F6C65">
            <w:pPr>
              <w:pStyle w:val="Contenudecadre"/>
            </w:pPr>
            <w:r>
              <w:rPr>
                <w:color w:val="000000"/>
              </w:rPr>
              <w:t xml:space="preserve">Horaires du lundi au vendredi : 4 soirées de 17h à 22h30 </w:t>
            </w:r>
          </w:p>
          <w:p w:rsidR="006F6C65" w:rsidRDefault="006F6C65" w:rsidP="006F6C65">
            <w:pPr>
              <w:pStyle w:val="Contenudecadre"/>
            </w:pPr>
            <w:r>
              <w:rPr>
                <w:color w:val="000000"/>
              </w:rPr>
              <w:t>Horaires du samedi</w:t>
            </w:r>
            <w:r w:rsidR="0002237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: 9h à 18h30</w:t>
            </w:r>
          </w:p>
          <w:p w:rsidR="006F6C65" w:rsidRDefault="006F6C65" w:rsidP="006F6C65">
            <w:pPr>
              <w:pStyle w:val="Contenudecadre"/>
            </w:pPr>
            <w:r>
              <w:rPr>
                <w:color w:val="000000"/>
              </w:rPr>
              <w:t xml:space="preserve">Astreintes la nuit, le dimanche et les jours fériés : selon calendrier </w:t>
            </w:r>
          </w:p>
          <w:p w:rsidR="006F6C65" w:rsidRPr="004F0B67" w:rsidRDefault="006F6C65" w:rsidP="004F0B67">
            <w:pPr>
              <w:pStyle w:val="Contenudecadre"/>
            </w:pPr>
            <w:r>
              <w:rPr>
                <w:color w:val="000000"/>
              </w:rPr>
              <w:t>Présence d'un gardien remplaçant : selon calendrier</w:t>
            </w:r>
          </w:p>
        </w:tc>
      </w:tr>
    </w:tbl>
    <w:p w:rsidR="002C2783" w:rsidRDefault="002C2783">
      <w:pPr>
        <w:pStyle w:val="TableContents"/>
      </w:pPr>
    </w:p>
    <w:tbl>
      <w:tblPr>
        <w:tblW w:w="104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25" w:type="dxa"/>
          <w:right w:w="28" w:type="dxa"/>
        </w:tblCellMar>
        <w:tblLook w:val="0000" w:firstRow="0" w:lastRow="0" w:firstColumn="0" w:lastColumn="0" w:noHBand="0" w:noVBand="0"/>
      </w:tblPr>
      <w:tblGrid>
        <w:gridCol w:w="10437"/>
      </w:tblGrid>
      <w:tr w:rsidR="002C2783">
        <w:tc>
          <w:tcPr>
            <w:tcW w:w="10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5" w:type="dxa"/>
            </w:tcMar>
          </w:tcPr>
          <w:p w:rsidR="002C2783" w:rsidRPr="004F0B67" w:rsidRDefault="000020FF" w:rsidP="004F0B67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Profil du candidat recherché (le cas échéant)</w:t>
            </w:r>
          </w:p>
        </w:tc>
      </w:tr>
    </w:tbl>
    <w:p w:rsidR="002C2783" w:rsidRDefault="002C2783"/>
    <w:tbl>
      <w:tblPr>
        <w:tblW w:w="104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25" w:type="dxa"/>
          <w:right w:w="28" w:type="dxa"/>
        </w:tblCellMar>
        <w:tblLook w:val="0000" w:firstRow="0" w:lastRow="0" w:firstColumn="0" w:lastColumn="0" w:noHBand="0" w:noVBand="0"/>
      </w:tblPr>
      <w:tblGrid>
        <w:gridCol w:w="10437"/>
      </w:tblGrid>
      <w:tr w:rsidR="002C2783">
        <w:tc>
          <w:tcPr>
            <w:tcW w:w="10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5" w:type="dxa"/>
            </w:tcMar>
          </w:tcPr>
          <w:p w:rsidR="002C2783" w:rsidRPr="007059AE" w:rsidRDefault="000020FF" w:rsidP="007059AE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Qui contacter ?</w:t>
            </w:r>
          </w:p>
          <w:p w:rsidR="00022370" w:rsidRDefault="00022370" w:rsidP="00022370">
            <w:pPr>
              <w:pStyle w:val="NormalWeb"/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Informations sur le poste auprès de : Agnès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Beauvallet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directrice des ressources humaines et des moyens de fonctionnement </w:t>
            </w:r>
            <w:hyperlink r:id="rId7" w:history="1">
              <w:r w:rsidR="001B171A" w:rsidRPr="001461D6">
                <w:rPr>
                  <w:rStyle w:val="Lienhypertexte"/>
                  <w:rFonts w:ascii="Arial" w:hAnsi="Arial" w:cs="Arial"/>
                  <w:sz w:val="22"/>
                  <w:szCs w:val="22"/>
                </w:rPr>
                <w:t>agnes.beauvallet@paris-belleville.archi.fr</w:t>
              </w:r>
            </w:hyperlink>
            <w:r w:rsidR="001B171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22370" w:rsidRDefault="00022370" w:rsidP="00022370">
            <w:pPr>
              <w:pStyle w:val="NormalWeb"/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Envois des candidatures (lettre de motivation, CV et photocopie de la fiche de poste publiée sur la PEP) avant la date d'échéance de la publication à : </w:t>
            </w:r>
            <w:r>
              <w:rPr>
                <w:rFonts w:ascii="Arial" w:hAnsi="Arial" w:cs="Arial"/>
                <w:sz w:val="22"/>
                <w:szCs w:val="22"/>
              </w:rPr>
              <w:t xml:space="preserve"> Florence Ibarra, directrice adjointe, </w:t>
            </w:r>
            <w:hyperlink r:id="rId8" w:history="1">
              <w:r w:rsidR="001B171A" w:rsidRPr="001461D6">
                <w:rPr>
                  <w:rStyle w:val="Lienhypertexte"/>
                  <w:rFonts w:ascii="Arial" w:hAnsi="Arial" w:cs="Arial"/>
                  <w:sz w:val="22"/>
                  <w:szCs w:val="22"/>
                </w:rPr>
                <w:t>florence.ibarra@paris-belleville.archi.fr</w:t>
              </w:r>
            </w:hyperlink>
            <w:r w:rsidR="001B171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B171A" w:rsidRDefault="001B171A" w:rsidP="001B171A">
            <w:pPr>
              <w:pStyle w:val="TableContentsuser"/>
              <w:ind w:left="510"/>
              <w:rPr>
                <w:sz w:val="21"/>
                <w:szCs w:val="21"/>
                <w:shd w:val="clear" w:color="auto" w:fill="FFFBCC"/>
              </w:rPr>
            </w:pPr>
          </w:p>
          <w:p w:rsidR="001B171A" w:rsidRDefault="001B171A" w:rsidP="001B171A">
            <w:pPr>
              <w:pStyle w:val="TableContentsuser"/>
              <w:ind w:left="510"/>
              <w:rPr>
                <w:sz w:val="21"/>
                <w:szCs w:val="21"/>
                <w:shd w:val="clear" w:color="auto" w:fill="FFFBCC"/>
              </w:rPr>
            </w:pPr>
            <w:r>
              <w:rPr>
                <w:sz w:val="21"/>
                <w:szCs w:val="21"/>
                <w:shd w:val="clear" w:color="auto" w:fill="FFFBCC"/>
              </w:rPr>
              <w:t xml:space="preserve">Une copie de la candidature (lettre + CV) doit </w:t>
            </w:r>
            <w:r>
              <w:rPr>
                <w:b/>
                <w:bCs/>
                <w:sz w:val="21"/>
                <w:szCs w:val="21"/>
                <w:shd w:val="clear" w:color="auto" w:fill="FFFBCC"/>
              </w:rPr>
              <w:t>obligatoirement</w:t>
            </w:r>
            <w:r>
              <w:rPr>
                <w:sz w:val="21"/>
                <w:szCs w:val="21"/>
                <w:shd w:val="clear" w:color="auto" w:fill="FFFBCC"/>
              </w:rPr>
              <w:t xml:space="preserve"> être adressée par le candidat par courriel, à l’adresse suivante : </w:t>
            </w:r>
          </w:p>
          <w:p w:rsidR="002C2783" w:rsidRPr="004F0B67" w:rsidRDefault="006F20CB" w:rsidP="001B171A">
            <w:pPr>
              <w:pStyle w:val="NormalWeb"/>
              <w:spacing w:before="0" w:beforeAutospacing="0" w:after="0" w:line="240" w:lineRule="auto"/>
              <w:ind w:left="510"/>
            </w:pPr>
            <w:hyperlink r:id="rId9" w:history="1">
              <w:r w:rsidR="001B171A" w:rsidRPr="00520889">
                <w:rPr>
                  <w:b/>
                  <w:sz w:val="21"/>
                  <w:szCs w:val="21"/>
                  <w:u w:val="single"/>
                  <w:shd w:val="clear" w:color="auto" w:fill="FFFBCC"/>
                </w:rPr>
                <w:t>candidature.dgp@culture.gouv.fr</w:t>
              </w:r>
            </w:hyperlink>
            <w:r w:rsidR="001B171A">
              <w:rPr>
                <w:sz w:val="21"/>
                <w:szCs w:val="21"/>
                <w:shd w:val="clear" w:color="auto" w:fill="FFFBCC"/>
              </w:rPr>
              <w:t xml:space="preserve">, </w:t>
            </w:r>
            <w:r w:rsidR="001B171A" w:rsidRPr="00520889">
              <w:rPr>
                <w:bCs/>
                <w:sz w:val="21"/>
                <w:szCs w:val="21"/>
                <w:shd w:val="clear" w:color="auto" w:fill="FFFBCC"/>
              </w:rPr>
              <w:t>en précisant dans l’objet du message :</w:t>
            </w:r>
            <w:r w:rsidR="001B171A">
              <w:rPr>
                <w:b/>
                <w:bCs/>
                <w:sz w:val="21"/>
                <w:szCs w:val="21"/>
                <w:shd w:val="clear" w:color="auto" w:fill="FFFBCC"/>
              </w:rPr>
              <w:t xml:space="preserve"> l’intitulé du poste, le corps concerné et le numéro PEP de la fiche de poste </w:t>
            </w:r>
            <w:r w:rsidR="001B171A">
              <w:rPr>
                <w:sz w:val="21"/>
                <w:szCs w:val="21"/>
                <w:shd w:val="clear" w:color="auto" w:fill="FFFBCC"/>
              </w:rPr>
              <w:t>(ex : Candidature agent d’accueil, de surveillance et de magasinage (AASM), fiche PEP n ° 2021-XXX).</w:t>
            </w:r>
          </w:p>
        </w:tc>
      </w:tr>
    </w:tbl>
    <w:p w:rsidR="002C2783" w:rsidRPr="005F01BD" w:rsidRDefault="002C2783">
      <w:pPr>
        <w:pStyle w:val="TableContents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104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25" w:type="dxa"/>
          <w:right w:w="28" w:type="dxa"/>
        </w:tblCellMar>
        <w:tblLook w:val="0000" w:firstRow="0" w:lastRow="0" w:firstColumn="0" w:lastColumn="0" w:noHBand="0" w:noVBand="0"/>
      </w:tblPr>
      <w:tblGrid>
        <w:gridCol w:w="10437"/>
      </w:tblGrid>
      <w:tr w:rsidR="002C2783">
        <w:tc>
          <w:tcPr>
            <w:tcW w:w="10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5" w:type="dxa"/>
            </w:tcMar>
          </w:tcPr>
          <w:p w:rsidR="002C2783" w:rsidRDefault="000020FF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Modalités de recrutement</w:t>
            </w:r>
          </w:p>
          <w:p w:rsidR="002C2783" w:rsidRDefault="005F01BD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L</w:t>
            </w:r>
            <w:r w:rsidR="000020FF">
              <w:rPr>
                <w:rFonts w:ascii="Times New Roman" w:hAnsi="Times New Roman"/>
                <w:sz w:val="22"/>
                <w:szCs w:val="22"/>
              </w:rPr>
              <w:t>es candidatures seront examinées collégialement par au moins 2 personnes formées au processus de recrutement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2C2783" w:rsidRDefault="000020FF">
      <w:pPr>
        <w:pStyle w:val="TableContents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Date de mise à </w:t>
      </w:r>
      <w:r w:rsidR="007059AE">
        <w:rPr>
          <w:rFonts w:ascii="Times New Roman" w:hAnsi="Times New Roman"/>
          <w:b/>
          <w:bCs/>
          <w:sz w:val="16"/>
          <w:szCs w:val="16"/>
        </w:rPr>
        <w:t xml:space="preserve">jour de la fiche de poste : </w:t>
      </w:r>
      <w:r w:rsidR="004F0B67">
        <w:rPr>
          <w:rFonts w:ascii="Times New Roman" w:hAnsi="Times New Roman"/>
          <w:b/>
          <w:bCs/>
          <w:sz w:val="16"/>
          <w:szCs w:val="16"/>
        </w:rPr>
        <w:t>20/10/</w:t>
      </w:r>
      <w:r w:rsidR="006F6C65">
        <w:rPr>
          <w:rFonts w:ascii="Times New Roman" w:hAnsi="Times New Roman"/>
          <w:b/>
          <w:bCs/>
          <w:sz w:val="16"/>
          <w:szCs w:val="16"/>
        </w:rPr>
        <w:t>2021</w:t>
      </w:r>
    </w:p>
    <w:sectPr w:rsidR="002C2783">
      <w:pgSz w:w="11906" w:h="16838"/>
      <w:pgMar w:top="397" w:right="737" w:bottom="397" w:left="737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ESRI NIMA VMAP1&amp;2 P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ris-belleville">
    <w:panose1 w:val="02000000000000000000"/>
    <w:charset w:val="00"/>
    <w:family w:val="modern"/>
    <w:notTrueType/>
    <w:pitch w:val="variable"/>
    <w:sig w:usb0="80000007" w:usb1="0000341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3421"/>
    <w:multiLevelType w:val="hybridMultilevel"/>
    <w:tmpl w:val="2E3874A8"/>
    <w:lvl w:ilvl="0" w:tplc="CC3471F0">
      <w:numFmt w:val="bullet"/>
      <w:lvlText w:val="-"/>
      <w:lvlJc w:val="left"/>
      <w:pPr>
        <w:ind w:left="780" w:hanging="360"/>
      </w:pPr>
      <w:rPr>
        <w:rFonts w:ascii="Liberation Serif" w:eastAsia="SimSun" w:hAnsi="Liberation Serif" w:cs="Liberation Serif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AC15B7"/>
    <w:multiLevelType w:val="multilevel"/>
    <w:tmpl w:val="99D2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3A74BD"/>
    <w:multiLevelType w:val="hybridMultilevel"/>
    <w:tmpl w:val="8D4E7F32"/>
    <w:lvl w:ilvl="0" w:tplc="CC3471F0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iberation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34BBF"/>
    <w:multiLevelType w:val="hybridMultilevel"/>
    <w:tmpl w:val="6AA49CA2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CE501A0"/>
    <w:multiLevelType w:val="hybridMultilevel"/>
    <w:tmpl w:val="A40A93E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D2525C6"/>
    <w:multiLevelType w:val="hybridMultilevel"/>
    <w:tmpl w:val="94F641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729EE"/>
    <w:multiLevelType w:val="hybridMultilevel"/>
    <w:tmpl w:val="9162D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55AD1"/>
    <w:multiLevelType w:val="hybridMultilevel"/>
    <w:tmpl w:val="76A62E3A"/>
    <w:lvl w:ilvl="0" w:tplc="CC3471F0">
      <w:numFmt w:val="bullet"/>
      <w:lvlText w:val="-"/>
      <w:lvlJc w:val="left"/>
      <w:pPr>
        <w:ind w:left="780" w:hanging="360"/>
      </w:pPr>
      <w:rPr>
        <w:rFonts w:ascii="Liberation Serif" w:eastAsia="SimSun" w:hAnsi="Liberation Serif" w:cs="Liberation Serif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83"/>
    <w:rsid w:val="000020FF"/>
    <w:rsid w:val="00022370"/>
    <w:rsid w:val="000463DC"/>
    <w:rsid w:val="00135459"/>
    <w:rsid w:val="001B171A"/>
    <w:rsid w:val="002C2783"/>
    <w:rsid w:val="002D3BB2"/>
    <w:rsid w:val="00416FDF"/>
    <w:rsid w:val="00491CC7"/>
    <w:rsid w:val="004F0B67"/>
    <w:rsid w:val="00520889"/>
    <w:rsid w:val="00542A98"/>
    <w:rsid w:val="005A3EB4"/>
    <w:rsid w:val="005F01BD"/>
    <w:rsid w:val="006F20CB"/>
    <w:rsid w:val="006F6C65"/>
    <w:rsid w:val="007059AE"/>
    <w:rsid w:val="00752BE1"/>
    <w:rsid w:val="0092467B"/>
    <w:rsid w:val="009B22BD"/>
    <w:rsid w:val="00A832D6"/>
    <w:rsid w:val="00A9641C"/>
    <w:rsid w:val="00B26421"/>
    <w:rsid w:val="00BF1825"/>
    <w:rsid w:val="00DB6094"/>
    <w:rsid w:val="00E116F0"/>
    <w:rsid w:val="00E7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25C28-8540-4335-9CED-C33B7920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AutoHyphens/>
    </w:pPr>
  </w:style>
  <w:style w:type="paragraph" w:styleId="Corpsdetexte2">
    <w:name w:val="Body Text 2"/>
    <w:basedOn w:val="Normal"/>
    <w:qFormat/>
    <w:pPr>
      <w:suppressAutoHyphens/>
      <w:ind w:firstLine="708"/>
    </w:pPr>
    <w:rPr>
      <w:b/>
      <w:bCs/>
    </w:rPr>
  </w:style>
  <w:style w:type="paragraph" w:customStyle="1" w:styleId="Contenudetableau">
    <w:name w:val="Contenu de tableau"/>
    <w:basedOn w:val="Normal"/>
    <w:qFormat/>
    <w:pPr>
      <w:suppressLineNumbers/>
      <w:suppressAutoHyphens/>
    </w:pPr>
  </w:style>
  <w:style w:type="paragraph" w:styleId="En-tte">
    <w:name w:val="header"/>
    <w:basedOn w:val="Normal"/>
    <w:qFormat/>
    <w:pPr>
      <w:tabs>
        <w:tab w:val="center" w:pos="4818"/>
        <w:tab w:val="right" w:pos="9637"/>
      </w:tabs>
    </w:pPr>
  </w:style>
  <w:style w:type="paragraph" w:customStyle="1" w:styleId="Contenudecadre">
    <w:name w:val="Contenu de cadre"/>
    <w:basedOn w:val="Normal"/>
    <w:qFormat/>
  </w:style>
  <w:style w:type="paragraph" w:customStyle="1" w:styleId="TableContentsuser">
    <w:name w:val="Table Contents (user)"/>
    <w:basedOn w:val="Normal"/>
    <w:rsid w:val="000020FF"/>
    <w:pPr>
      <w:suppressAutoHyphens/>
      <w:autoSpaceDN w:val="0"/>
      <w:textAlignment w:val="baseline"/>
    </w:pPr>
    <w:rPr>
      <w:kern w:val="3"/>
    </w:rPr>
  </w:style>
  <w:style w:type="paragraph" w:styleId="NormalWeb">
    <w:name w:val="Normal (Web)"/>
    <w:basedOn w:val="Normal"/>
    <w:uiPriority w:val="99"/>
    <w:unhideWhenUsed/>
    <w:rsid w:val="00DB6094"/>
    <w:pPr>
      <w:widowControl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2237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ence.ibarra@paris-belleville.archi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nes.beauvallet@paris-belleville.archi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ndidature.dgp@cultur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LEFRANC-MAUPILÉ Audrey</dc:creator>
  <dc:description/>
  <cp:lastModifiedBy>stephanie guyard</cp:lastModifiedBy>
  <cp:revision>2</cp:revision>
  <dcterms:created xsi:type="dcterms:W3CDTF">2021-10-26T08:50:00Z</dcterms:created>
  <dcterms:modified xsi:type="dcterms:W3CDTF">2021-10-26T08:50:00Z</dcterms:modified>
  <dc:language>fr-FR</dc:language>
</cp:coreProperties>
</file>