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1F" w:rsidRDefault="0016771F" w:rsidP="007D36CD">
      <w:pPr>
        <w:jc w:val="center"/>
      </w:pPr>
      <w:bookmarkStart w:id="0" w:name="_GoBack"/>
      <w:bookmarkEnd w:id="0"/>
      <w:r>
        <w:rPr>
          <w:noProof/>
          <w:lang w:eastAsia="fr-FR" w:bidi="ar-SA"/>
        </w:rPr>
        <w:drawing>
          <wp:inline distT="0" distB="0" distL="0" distR="0" wp14:anchorId="43E1E1C0" wp14:editId="4B9E626F">
            <wp:extent cx="1018540" cy="469900"/>
            <wp:effectExtent l="0" t="0" r="0" b="0"/>
            <wp:docPr id="1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1F" w:rsidRDefault="0016771F" w:rsidP="007D36CD">
      <w:pPr>
        <w:jc w:val="center"/>
        <w:rPr>
          <w:sz w:val="10"/>
          <w:szCs w:val="10"/>
        </w:rPr>
      </w:pPr>
    </w:p>
    <w:p w:rsidR="0016771F" w:rsidRDefault="0016771F" w:rsidP="007D36CD">
      <w:pPr>
        <w:pStyle w:val="Corpsdetexte"/>
        <w:spacing w:after="0" w:line="240" w:lineRule="auto"/>
        <w:jc w:val="center"/>
      </w:pPr>
      <w:r>
        <w:rPr>
          <w:noProof/>
          <w:lang w:eastAsia="fr-FR" w:bidi="ar-SA"/>
        </w:rPr>
        <w:drawing>
          <wp:inline distT="0" distB="0" distL="0" distR="0" wp14:anchorId="16331471" wp14:editId="40A3FDE8">
            <wp:extent cx="2114550" cy="200025"/>
            <wp:effectExtent l="0" t="0" r="0" b="0"/>
            <wp:docPr id="2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1F" w:rsidRDefault="0016771F" w:rsidP="007D36CD">
      <w:pPr>
        <w:pStyle w:val="Corpsdetexte"/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FICHE DE POSTE</w:t>
      </w:r>
    </w:p>
    <w:p w:rsidR="0016771F" w:rsidRDefault="0016771F" w:rsidP="007D36CD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Tous les postes du Ministère de la culture et de ses établissements</w:t>
      </w:r>
      <w:r>
        <w:rPr>
          <w:b/>
          <w:bCs/>
          <w:sz w:val="21"/>
          <w:szCs w:val="21"/>
        </w:rPr>
        <w:br/>
        <w:t xml:space="preserve"> sont ouverts aux personnes reconnues comme </w:t>
      </w:r>
      <w:proofErr w:type="spellStart"/>
      <w:r>
        <w:rPr>
          <w:b/>
          <w:bCs/>
          <w:sz w:val="21"/>
          <w:szCs w:val="21"/>
        </w:rPr>
        <w:t>travailleur.se.s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handicapé.e.s</w:t>
      </w:r>
      <w:proofErr w:type="spellEnd"/>
    </w:p>
    <w:p w:rsidR="0016771F" w:rsidRDefault="0016771F" w:rsidP="007D36CD">
      <w:pPr>
        <w:jc w:val="center"/>
        <w:rPr>
          <w:b/>
          <w:bCs/>
          <w:sz w:val="21"/>
          <w:szCs w:val="21"/>
        </w:rPr>
      </w:pPr>
    </w:p>
    <w:p w:rsidR="0016771F" w:rsidRDefault="0016771F" w:rsidP="0016771F">
      <w:pPr>
        <w:tabs>
          <w:tab w:val="right" w:pos="10348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N°PEP DE DIFFUSION (en cas de republication) :</w:t>
      </w:r>
      <w:r w:rsidR="004331FB">
        <w:rPr>
          <w:b/>
          <w:bCs/>
          <w:sz w:val="21"/>
          <w:szCs w:val="21"/>
        </w:rPr>
        <w:t xml:space="preserve"> </w:t>
      </w:r>
      <w:r w:rsidR="004331FB" w:rsidRPr="004331FB">
        <w:rPr>
          <w:rFonts w:asciiTheme="minorHAnsi" w:hAnsiTheme="minorHAnsi" w:cstheme="minorHAnsi"/>
          <w:b/>
          <w:bCs/>
          <w:sz w:val="28"/>
          <w:szCs w:val="28"/>
        </w:rPr>
        <w:t>2021-601543</w:t>
      </w:r>
      <w:r>
        <w:rPr>
          <w:b/>
          <w:bCs/>
          <w:sz w:val="21"/>
          <w:szCs w:val="21"/>
        </w:rPr>
        <w:tab/>
      </w:r>
    </w:p>
    <w:tbl>
      <w:tblPr>
        <w:tblW w:w="104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6"/>
        <w:gridCol w:w="141"/>
        <w:gridCol w:w="3970"/>
      </w:tblGrid>
      <w:tr w:rsidR="00737B68">
        <w:trPr>
          <w:trHeight w:val="301"/>
        </w:trPr>
        <w:tc>
          <w:tcPr>
            <w:tcW w:w="6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B68" w:rsidRDefault="00763DED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Intitulé du poste (F/H)</w:t>
            </w:r>
            <w:r w:rsidR="001677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737B68" w:rsidRPr="0016771F" w:rsidRDefault="00737B68">
            <w:pPr>
              <w:pStyle w:val="Corpsdetexte"/>
              <w:spacing w:after="0"/>
              <w:rPr>
                <w:rFonts w:ascii="Liberation Sans" w:hAnsi="Liberation Sans"/>
                <w:b/>
                <w:sz w:val="12"/>
                <w:szCs w:val="12"/>
              </w:rPr>
            </w:pPr>
          </w:p>
          <w:p w:rsidR="00737B68" w:rsidRPr="0016771F" w:rsidRDefault="00763DED" w:rsidP="0016771F">
            <w:pPr>
              <w:pStyle w:val="Corpsdetexte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 de l’</w:t>
            </w:r>
            <w:r w:rsidR="0016771F">
              <w:rPr>
                <w:rFonts w:ascii="Arial" w:hAnsi="Arial"/>
                <w:b/>
              </w:rPr>
              <w:t>accueil, de</w:t>
            </w:r>
            <w:r>
              <w:rPr>
                <w:rFonts w:ascii="Arial" w:hAnsi="Arial"/>
                <w:b/>
              </w:rPr>
              <w:t xml:space="preserve"> la sécurité</w:t>
            </w:r>
            <w:r w:rsidR="0016771F">
              <w:rPr>
                <w:rFonts w:ascii="Arial" w:hAnsi="Arial"/>
                <w:b/>
              </w:rPr>
              <w:t xml:space="preserve"> des locaux et de la logistique</w:t>
            </w:r>
          </w:p>
        </w:tc>
        <w:tc>
          <w:tcPr>
            <w:tcW w:w="141" w:type="dxa"/>
            <w:tcBorders>
              <w:left w:val="single" w:sz="2" w:space="0" w:color="000000"/>
            </w:tcBorders>
            <w:shd w:val="clear" w:color="auto" w:fill="auto"/>
          </w:tcPr>
          <w:p w:rsidR="00737B68" w:rsidRDefault="00737B68">
            <w:pPr>
              <w:pStyle w:val="TableContents"/>
              <w:snapToGrid w:val="0"/>
              <w:rPr>
                <w:rFonts w:ascii="paris-belleville" w:hAnsi="paris-belleville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pStyle w:val="TableContents"/>
              <w:snapToGrid w:val="0"/>
            </w:pPr>
            <w:r>
              <w:rPr>
                <w:rFonts w:ascii="paris-belleville" w:hAnsi="paris-belleville"/>
              </w:rPr>
              <w:t>C</w:t>
            </w:r>
            <w:r>
              <w:rPr>
                <w:rFonts w:ascii="Arial" w:hAnsi="Arial"/>
              </w:rPr>
              <w:t>atégorie statutaire : A</w:t>
            </w:r>
          </w:p>
          <w:p w:rsidR="00737B68" w:rsidRDefault="0016771F">
            <w:pPr>
              <w:pStyle w:val="TableContents"/>
            </w:pPr>
            <w:r>
              <w:rPr>
                <w:rFonts w:ascii="Arial" w:hAnsi="Arial"/>
              </w:rPr>
              <w:t>Corps</w:t>
            </w:r>
            <w:r w:rsidR="00763DED">
              <w:rPr>
                <w:rFonts w:ascii="Arial" w:hAnsi="Arial"/>
              </w:rPr>
              <w:t> : ingénieur des services culturels et du patrimoine</w:t>
            </w:r>
          </w:p>
          <w:p w:rsidR="00737B68" w:rsidRDefault="0016771F">
            <w:pPr>
              <w:pStyle w:val="TableContents"/>
              <w:snapToGrid w:val="0"/>
            </w:pPr>
            <w:r>
              <w:rPr>
                <w:rFonts w:ascii="Arial" w:hAnsi="Arial"/>
              </w:rPr>
              <w:t>Code</w:t>
            </w:r>
            <w:r w:rsidR="00763DED">
              <w:rPr>
                <w:rFonts w:ascii="Arial" w:hAnsi="Arial"/>
              </w:rPr>
              <w:t xml:space="preserve"> corps</w:t>
            </w:r>
            <w:r>
              <w:rPr>
                <w:rFonts w:ascii="Arial" w:hAnsi="Arial"/>
              </w:rPr>
              <w:t xml:space="preserve"> </w:t>
            </w:r>
            <w:r w:rsidR="00763DED">
              <w:rPr>
                <w:rFonts w:ascii="Arial" w:hAnsi="Arial"/>
              </w:rPr>
              <w:t>: ISCP</w:t>
            </w:r>
          </w:p>
          <w:p w:rsidR="00737B68" w:rsidRDefault="00763DED">
            <w:pPr>
              <w:pStyle w:val="TableContents"/>
              <w:snapToGrid w:val="0"/>
            </w:pPr>
            <w:r>
              <w:rPr>
                <w:rFonts w:ascii="Arial" w:hAnsi="Arial"/>
              </w:rPr>
              <w:t>Ouvert aux contractuels en CDI du MC et des établissements</w:t>
            </w:r>
          </w:p>
          <w:p w:rsidR="00737B68" w:rsidRDefault="00763DED">
            <w:pPr>
              <w:pStyle w:val="TableContents"/>
              <w:snapToGrid w:val="0"/>
            </w:pPr>
            <w:r>
              <w:rPr>
                <w:rFonts w:ascii="Arial" w:eastAsia="Arial" w:hAnsi="Arial" w:cs="Arial"/>
                <w:lang w:eastAsia="en-US"/>
              </w:rPr>
              <w:t>Groupe RIFSEEP</w:t>
            </w:r>
            <w:r>
              <w:rPr>
                <w:rFonts w:ascii="Arial" w:hAnsi="Arial"/>
              </w:rPr>
              <w:t> : 2</w:t>
            </w:r>
          </w:p>
        </w:tc>
      </w:tr>
    </w:tbl>
    <w:p w:rsidR="00737B68" w:rsidRDefault="00737B68">
      <w:pPr>
        <w:pStyle w:val="TableContents"/>
        <w:rPr>
          <w:rFonts w:ascii="paris-belleville" w:hAnsi="paris-belleville"/>
          <w:sz w:val="12"/>
          <w:szCs w:val="12"/>
        </w:rPr>
      </w:pPr>
    </w:p>
    <w:tbl>
      <w:tblPr>
        <w:tblW w:w="104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7"/>
      </w:tblGrid>
      <w:tr w:rsidR="00737B68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Pr="00D34D67" w:rsidRDefault="00763DED">
            <w:pPr>
              <w:pStyle w:val="TableContents"/>
              <w:snapToGrid w:val="0"/>
            </w:pPr>
            <w:r>
              <w:rPr>
                <w:rFonts w:ascii="paris-belleville" w:hAnsi="paris-belleville"/>
                <w:b/>
                <w:bCs/>
              </w:rPr>
              <w:t xml:space="preserve">Domaine(s) Fonctionnel(s) </w:t>
            </w:r>
            <w:r>
              <w:rPr>
                <w:rFonts w:ascii="paris-belleville" w:hAnsi="paris-belleville"/>
              </w:rPr>
              <w:t>:</w:t>
            </w:r>
            <w:r>
              <w:rPr>
                <w:rFonts w:ascii="paris-belleville" w:hAnsi="paris-belleville"/>
                <w:b/>
                <w:bCs/>
              </w:rPr>
              <w:t xml:space="preserve"> </w:t>
            </w:r>
            <w:r w:rsidR="00D34D67" w:rsidRPr="00D34D67">
              <w:rPr>
                <w:rFonts w:ascii="Arial" w:hAnsi="Arial"/>
                <w:b/>
                <w:bCs/>
                <w:color w:val="111111"/>
              </w:rPr>
              <w:t>Sécurité</w:t>
            </w:r>
            <w:r w:rsidR="00D34D67">
              <w:rPr>
                <w:rFonts w:ascii="Arial" w:hAnsi="Arial"/>
                <w:b/>
                <w:bCs/>
                <w:color w:val="111111"/>
              </w:rPr>
              <w:t xml:space="preserve"> – </w:t>
            </w:r>
            <w:r w:rsidR="00D34D67">
              <w:rPr>
                <w:rFonts w:ascii="Arial" w:hAnsi="Arial"/>
                <w:bCs/>
                <w:color w:val="111111"/>
              </w:rPr>
              <w:t>ex Culture et Patrimoine</w:t>
            </w:r>
          </w:p>
        </w:tc>
      </w:tr>
    </w:tbl>
    <w:p w:rsidR="00737B68" w:rsidRPr="00D34D67" w:rsidRDefault="00737B68">
      <w:pPr>
        <w:pStyle w:val="TableContents"/>
        <w:rPr>
          <w:rFonts w:ascii="paris-belleville" w:hAnsi="paris-belleville"/>
          <w:sz w:val="12"/>
          <w:szCs w:val="12"/>
        </w:rPr>
      </w:pPr>
    </w:p>
    <w:tbl>
      <w:tblPr>
        <w:tblW w:w="104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7"/>
      </w:tblGrid>
      <w:tr w:rsidR="00737B68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Pr="0016771F" w:rsidRDefault="00763DED">
            <w:pPr>
              <w:pStyle w:val="TableContents"/>
              <w:snapToGrid w:val="0"/>
            </w:pPr>
            <w:r>
              <w:rPr>
                <w:rFonts w:ascii="paris-belleville" w:hAnsi="paris-belleville"/>
                <w:b/>
                <w:bCs/>
              </w:rPr>
              <w:t xml:space="preserve">Emploi(s) Type </w:t>
            </w:r>
            <w:r>
              <w:rPr>
                <w:rFonts w:ascii="paris-belleville" w:hAnsi="paris-belleville"/>
              </w:rPr>
              <w:t xml:space="preserve">: </w:t>
            </w:r>
            <w:r w:rsidR="00637372" w:rsidRPr="00637372">
              <w:rPr>
                <w:rFonts w:ascii="paris-belleville" w:hAnsi="paris-belleville"/>
              </w:rPr>
              <w:t>ERSEC026</w:t>
            </w:r>
            <w:r w:rsidR="00637372">
              <w:rPr>
                <w:rFonts w:ascii="paris-belleville" w:hAnsi="paris-belleville"/>
              </w:rPr>
              <w:t xml:space="preserve"> - </w:t>
            </w:r>
            <w:r>
              <w:rPr>
                <w:rFonts w:ascii="Arial" w:hAnsi="Arial"/>
                <w:color w:val="111111"/>
              </w:rPr>
              <w:t xml:space="preserve">Responsable de politique de sûreté-sécurité </w:t>
            </w:r>
            <w:r w:rsidR="00637372">
              <w:rPr>
                <w:rFonts w:ascii="Arial" w:hAnsi="Arial"/>
                <w:color w:val="111111"/>
              </w:rPr>
              <w:t xml:space="preserve">– ex </w:t>
            </w:r>
            <w:r>
              <w:rPr>
                <w:rFonts w:ascii="Arial" w:hAnsi="Arial"/>
                <w:color w:val="111111"/>
              </w:rPr>
              <w:t>CUL01</w:t>
            </w:r>
          </w:p>
        </w:tc>
      </w:tr>
    </w:tbl>
    <w:p w:rsidR="00737B68" w:rsidRDefault="00737B68">
      <w:pPr>
        <w:pStyle w:val="TableContents"/>
        <w:rPr>
          <w:rFonts w:ascii="paris-belleville" w:hAnsi="paris-belleville"/>
        </w:rPr>
      </w:pPr>
    </w:p>
    <w:tbl>
      <w:tblPr>
        <w:tblW w:w="104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7"/>
      </w:tblGrid>
      <w:tr w:rsidR="00737B68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pStyle w:val="TableContents"/>
              <w:snapToGrid w:val="0"/>
              <w:rPr>
                <w:rFonts w:ascii="paris-belleville" w:hAnsi="paris-belleville"/>
                <w:b/>
                <w:bCs/>
              </w:rPr>
            </w:pPr>
            <w:r>
              <w:rPr>
                <w:rFonts w:ascii="paris-belleville" w:hAnsi="paris-belleville"/>
                <w:b/>
                <w:bCs/>
              </w:rPr>
              <w:t>Adresse administrative et géographique de l’affectation :</w:t>
            </w:r>
          </w:p>
          <w:p w:rsidR="00737B68" w:rsidRDefault="00763DED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Nationale Supérieure d’Architecture de Paris-Belleville</w:t>
            </w:r>
          </w:p>
          <w:p w:rsidR="00737B68" w:rsidRDefault="00763DED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boulevard de la Villette</w:t>
            </w:r>
          </w:p>
          <w:p w:rsidR="00737B68" w:rsidRDefault="00763DED">
            <w:pPr>
              <w:pStyle w:val="TableContents"/>
            </w:pPr>
            <w:r>
              <w:rPr>
                <w:rFonts w:ascii="Arial" w:hAnsi="Arial" w:cs="Arial"/>
              </w:rPr>
              <w:t>75019 Paris</w:t>
            </w:r>
          </w:p>
        </w:tc>
      </w:tr>
    </w:tbl>
    <w:p w:rsidR="00737B68" w:rsidRDefault="00737B68">
      <w:pPr>
        <w:pStyle w:val="TableContents"/>
        <w:rPr>
          <w:rFonts w:ascii="paris-belleville" w:hAnsi="paris-belleville"/>
        </w:rPr>
      </w:pPr>
    </w:p>
    <w:tbl>
      <w:tblPr>
        <w:tblW w:w="1042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24"/>
      </w:tblGrid>
      <w:tr w:rsidR="00737B68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jc w:val="both"/>
            </w:pPr>
            <w:r>
              <w:rPr>
                <w:rFonts w:ascii="Arial" w:hAnsi="Arial"/>
                <w:b/>
                <w:bCs/>
                <w:u w:val="single"/>
              </w:rPr>
              <w:t>Missions</w:t>
            </w:r>
            <w:r>
              <w:rPr>
                <w:rFonts w:ascii="Arial" w:hAnsi="Arial"/>
                <w:b/>
                <w:bCs/>
              </w:rPr>
              <w:t> :</w:t>
            </w:r>
          </w:p>
          <w:p w:rsidR="00737B68" w:rsidRPr="0016771F" w:rsidRDefault="00737B68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737B68" w:rsidRDefault="00763D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 sein de la direction des RH et des moyens de fonctionnement, une dizaine d'agents assure les fonctions d’accueil, de sécurité et de logistique de l’Ecole. Directement </w:t>
            </w:r>
            <w:proofErr w:type="spellStart"/>
            <w:proofErr w:type="gramStart"/>
            <w:r>
              <w:rPr>
                <w:rFonts w:ascii="Arial" w:hAnsi="Arial"/>
              </w:rPr>
              <w:t>rattaché.e</w:t>
            </w:r>
            <w:proofErr w:type="spellEnd"/>
            <w:proofErr w:type="gramEnd"/>
            <w:r>
              <w:rPr>
                <w:rFonts w:ascii="Arial" w:hAnsi="Arial"/>
              </w:rPr>
              <w:t xml:space="preserve"> à la directrice des RH et MF, l’ISCP, responsable de l’accueil, la sécurité et de la logistique, encadre les agents d’accueil et de surveillance dont </w:t>
            </w:r>
            <w:proofErr w:type="spellStart"/>
            <w:r>
              <w:rPr>
                <w:rFonts w:ascii="Arial" w:hAnsi="Arial"/>
              </w:rPr>
              <w:t>la.le</w:t>
            </w:r>
            <w:proofErr w:type="spellEnd"/>
            <w:r>
              <w:rPr>
                <w:rFonts w:ascii="Arial" w:hAnsi="Arial"/>
              </w:rPr>
              <w:t xml:space="preserve"> TSC responsable de la garde du site, </w:t>
            </w:r>
            <w:proofErr w:type="spellStart"/>
            <w:r>
              <w:rPr>
                <w:rFonts w:ascii="Arial" w:hAnsi="Arial"/>
              </w:rPr>
              <w:t>logé.e</w:t>
            </w:r>
            <w:proofErr w:type="spellEnd"/>
            <w:r>
              <w:rPr>
                <w:rFonts w:ascii="Arial" w:hAnsi="Arial"/>
              </w:rPr>
              <w:t xml:space="preserve"> en NAS.</w:t>
            </w:r>
          </w:p>
          <w:p w:rsidR="00737B68" w:rsidRDefault="00763D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L’équipe assure l’accueil et la sécurité quotidienne des personnels, étudiants et publics. Elle participe à l’organisation des activités régulières de l’école (mise en place des salles…) et des manifestations (</w:t>
            </w:r>
            <w:r>
              <w:rPr>
                <w:rFonts w:ascii="Arial" w:hAnsi="Arial" w:cs="Arial"/>
              </w:rPr>
              <w:t xml:space="preserve">journées portes ouvertes, conférences, colloques, </w:t>
            </w:r>
            <w:r w:rsidR="0016771F">
              <w:rPr>
                <w:rFonts w:ascii="Arial" w:hAnsi="Arial" w:cs="Arial"/>
              </w:rPr>
              <w:t>expositions, tournages</w:t>
            </w:r>
            <w:r>
              <w:rPr>
                <w:rFonts w:ascii="Arial" w:hAnsi="Arial" w:cs="Arial"/>
              </w:rPr>
              <w:t>, …).</w:t>
            </w:r>
          </w:p>
          <w:p w:rsidR="00737B68" w:rsidRDefault="00763DED">
            <w:pPr>
              <w:jc w:val="both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Il.elle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est force de proposition pour adapter les équipements, procédures, organisation à l’évolution des besoins.</w:t>
            </w:r>
          </w:p>
          <w:p w:rsidR="00737B68" w:rsidRDefault="00737B68">
            <w:pPr>
              <w:jc w:val="both"/>
              <w:rPr>
                <w:rFonts w:ascii="Arial" w:hAnsi="Arial"/>
              </w:rPr>
            </w:pPr>
          </w:p>
          <w:p w:rsidR="00737B68" w:rsidRDefault="00763DED">
            <w:pPr>
              <w:jc w:val="both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Activités principales:</w:t>
            </w:r>
          </w:p>
          <w:p w:rsidR="00737B68" w:rsidRDefault="00763DED">
            <w:pPr>
              <w:jc w:val="both"/>
            </w:pPr>
            <w:r>
              <w:rPr>
                <w:rFonts w:ascii="Arial" w:hAnsi="Arial"/>
              </w:rPr>
              <w:t>L’ISC</w:t>
            </w:r>
            <w:r w:rsidR="0016771F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 a la responsabilité de de son équipe pour :</w:t>
            </w:r>
          </w:p>
          <w:p w:rsidR="00737B68" w:rsidRDefault="00763DED">
            <w:pPr>
              <w:jc w:val="both"/>
            </w:pPr>
            <w:r>
              <w:rPr>
                <w:rFonts w:ascii="Arial" w:hAnsi="Arial"/>
                <w:u w:val="single"/>
              </w:rPr>
              <w:t xml:space="preserve">Assurer l'organisation et le bon fonctionnement de l'accueil et de la sécurité de </w:t>
            </w:r>
            <w:r w:rsidR="004331FB">
              <w:rPr>
                <w:rFonts w:ascii="Arial" w:hAnsi="Arial"/>
                <w:u w:val="single"/>
              </w:rPr>
              <w:t>l’école</w:t>
            </w:r>
            <w:r w:rsidR="004331FB">
              <w:rPr>
                <w:rFonts w:ascii="Arial" w:hAnsi="Arial"/>
              </w:rPr>
              <w:t xml:space="preserve"> :</w:t>
            </w:r>
          </w:p>
          <w:p w:rsidR="00737B68" w:rsidRPr="004331FB" w:rsidRDefault="00737B68">
            <w:pPr>
              <w:ind w:left="720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737B68" w:rsidRDefault="004331FB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Organiser</w:t>
            </w:r>
            <w:r w:rsidR="00763DED">
              <w:rPr>
                <w:rFonts w:ascii="Arial" w:hAnsi="Arial"/>
              </w:rPr>
              <w:t xml:space="preserve"> le service d’accueil et de sécurité dans ses missions quotidiennes ou particulières (événements) : établir les procédures, définir les besoins en équipement, organiser les activités et encadrer l’équipe au quotidien, </w:t>
            </w:r>
            <w:r w:rsidR="00763DED">
              <w:rPr>
                <w:rFonts w:ascii="Arial" w:hAnsi="Arial" w:cs="Arial"/>
              </w:rPr>
              <w:t>définir et organiser la formation des agents,</w:t>
            </w:r>
          </w:p>
          <w:p w:rsidR="00737B68" w:rsidRPr="004331FB" w:rsidRDefault="00737B68">
            <w:pPr>
              <w:ind w:left="72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737B68" w:rsidRDefault="004331FB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>
              <w:rPr>
                <w:rFonts w:ascii="Arial" w:hAnsi="Arial" w:cs="Arial"/>
              </w:rPr>
              <w:t>Organiser</w:t>
            </w:r>
            <w:r w:rsidR="00763DED">
              <w:rPr>
                <w:rFonts w:ascii="Arial" w:hAnsi="Arial" w:cs="Arial"/>
              </w:rPr>
              <w:t xml:space="preserve"> la surveillance des événements de l’établissement.</w:t>
            </w:r>
          </w:p>
          <w:p w:rsidR="00737B68" w:rsidRDefault="00737B68">
            <w:pPr>
              <w:ind w:left="720"/>
              <w:jc w:val="both"/>
              <w:rPr>
                <w:rFonts w:ascii="Arial" w:hAnsi="Arial" w:cs="Arial"/>
              </w:rPr>
            </w:pPr>
          </w:p>
          <w:p w:rsidR="00737B68" w:rsidRDefault="00763DED">
            <w:pPr>
              <w:jc w:val="both"/>
            </w:pPr>
            <w:r>
              <w:rPr>
                <w:rFonts w:ascii="Arial" w:hAnsi="Arial" w:cs="Arial"/>
                <w:u w:val="single"/>
              </w:rPr>
              <w:t>Assurer la sécurité et la sûreté des deux sites</w:t>
            </w:r>
            <w:r>
              <w:rPr>
                <w:rFonts w:ascii="Arial" w:hAnsi="Arial" w:cs="Arial"/>
              </w:rPr>
              <w:t> :</w:t>
            </w:r>
          </w:p>
          <w:p w:rsidR="00737B68" w:rsidRDefault="004331FB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Assurer</w:t>
            </w:r>
            <w:r w:rsidR="00763DED">
              <w:rPr>
                <w:rFonts w:ascii="Arial" w:hAnsi="Arial" w:cs="Arial"/>
              </w:rPr>
              <w:t xml:space="preserve"> la responsabilité de la veille technique, de l'exploitation et de la maintenance des équipements de sécurité incendie et de sûreté de l'établissement (ERP 2, 15000m²), la conformité des installations techniques et des contrôles réglementaires et suivre leur maintenance : SSI, extincteurs, BAES, colonnes sèches, désenfumage, portes et rideaux coupe-feu, portes vitrées coulissantes, nuisibles, télésurveillance…</w:t>
            </w:r>
          </w:p>
          <w:p w:rsidR="00737B68" w:rsidRDefault="004331FB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Suivre</w:t>
            </w:r>
            <w:r w:rsidR="00763DED">
              <w:rPr>
                <w:rFonts w:ascii="Arial" w:hAnsi="Arial" w:cs="Arial"/>
              </w:rPr>
              <w:t xml:space="preserve"> et mettre à jour tous les documents liés à l’hygiène et la sécurité : DU, fiches des</w:t>
            </w:r>
            <w:r>
              <w:rPr>
                <w:rFonts w:ascii="Arial" w:hAnsi="Arial" w:cs="Arial"/>
              </w:rPr>
              <w:t xml:space="preserve"> risques professionnels, PPMS, </w:t>
            </w:r>
            <w:r w:rsidR="00763DED">
              <w:rPr>
                <w:rFonts w:ascii="Arial" w:hAnsi="Arial" w:cs="Arial"/>
              </w:rPr>
              <w:t>registres, plans de prévention...</w:t>
            </w:r>
          </w:p>
          <w:p w:rsidR="00737B68" w:rsidRDefault="004331FB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</w:t>
            </w:r>
            <w:r w:rsidR="00763DED">
              <w:rPr>
                <w:rFonts w:ascii="Arial" w:hAnsi="Arial" w:cs="Arial"/>
              </w:rPr>
              <w:t xml:space="preserve"> le passage de la commission de sécurité...</w:t>
            </w:r>
          </w:p>
          <w:p w:rsidR="00737B68" w:rsidRDefault="004331FB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</w:t>
            </w:r>
            <w:r w:rsidR="00763DED">
              <w:rPr>
                <w:rFonts w:ascii="Arial" w:hAnsi="Arial" w:cs="Arial"/>
              </w:rPr>
              <w:t xml:space="preserve"> à jour les consignes et procédures de sécurité et mettre en œuvre les exercices </w:t>
            </w:r>
            <w:r w:rsidR="00763DED">
              <w:rPr>
                <w:rFonts w:ascii="Arial" w:hAnsi="Arial" w:cs="Arial"/>
              </w:rPr>
              <w:lastRenderedPageBreak/>
              <w:t xml:space="preserve">correspondant.  </w:t>
            </w:r>
          </w:p>
          <w:p w:rsidR="00737B68" w:rsidRDefault="00737B68">
            <w:pPr>
              <w:ind w:left="720"/>
              <w:jc w:val="both"/>
              <w:rPr>
                <w:rFonts w:ascii="Arial" w:hAnsi="Arial" w:cs="Arial"/>
                <w:u w:val="single"/>
              </w:rPr>
            </w:pPr>
          </w:p>
          <w:p w:rsidR="00737B68" w:rsidRDefault="00763DED">
            <w:pPr>
              <w:tabs>
                <w:tab w:val="left" w:pos="1065"/>
              </w:tabs>
              <w:ind w:left="720"/>
              <w:jc w:val="both"/>
            </w:pPr>
            <w:r>
              <w:rPr>
                <w:rFonts w:ascii="Arial" w:hAnsi="Arial"/>
                <w:u w:val="single"/>
              </w:rPr>
              <w:t>Assurer les fonctions d’assistant(e) de prévention et à ce titre être associé(e) aux travaux du CHSCT :</w:t>
            </w:r>
          </w:p>
          <w:p w:rsidR="00737B68" w:rsidRDefault="004331FB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Suivre</w:t>
            </w:r>
            <w:r w:rsidR="00763DED">
              <w:rPr>
                <w:rFonts w:ascii="Arial" w:hAnsi="Arial"/>
              </w:rPr>
              <w:t xml:space="preserve"> les dossiers portant sur les domaines de la sécurité incendie, de l’hygiène et des conditions de travail,</w:t>
            </w:r>
          </w:p>
          <w:p w:rsidR="00737B68" w:rsidRDefault="004331FB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Collaborer</w:t>
            </w:r>
            <w:r w:rsidR="00763DED">
              <w:rPr>
                <w:rFonts w:ascii="Arial" w:hAnsi="Arial"/>
              </w:rPr>
              <w:t xml:space="preserve"> avec le médecin de prévention et l'inspecteur hygiène et sécurité au travail.</w:t>
            </w:r>
          </w:p>
          <w:p w:rsidR="00737B68" w:rsidRDefault="00737B68">
            <w:pPr>
              <w:ind w:left="720"/>
              <w:rPr>
                <w:rFonts w:ascii="Arial" w:hAnsi="Arial" w:cs="Arial"/>
              </w:rPr>
            </w:pPr>
          </w:p>
          <w:p w:rsidR="00737B68" w:rsidRDefault="00763DED">
            <w:r>
              <w:rPr>
                <w:rFonts w:ascii="Arial" w:hAnsi="Arial"/>
                <w:u w:val="single"/>
              </w:rPr>
              <w:t>Assurer les fonctions de responsable de la logistique </w:t>
            </w:r>
            <w:r>
              <w:rPr>
                <w:rFonts w:ascii="Arial" w:hAnsi="Arial"/>
              </w:rPr>
              <w:t>:</w:t>
            </w:r>
          </w:p>
          <w:p w:rsidR="00737B68" w:rsidRDefault="004331FB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Contribuer</w:t>
            </w:r>
            <w:r w:rsidR="00763DED">
              <w:rPr>
                <w:rFonts w:ascii="Arial" w:hAnsi="Arial"/>
              </w:rPr>
              <w:t xml:space="preserve"> à l‘organisation des évènements de l’Ecole ;</w:t>
            </w:r>
          </w:p>
          <w:p w:rsidR="00737B68" w:rsidRDefault="004331FB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Suivre</w:t>
            </w:r>
            <w:r w:rsidR="00763DED">
              <w:rPr>
                <w:rFonts w:ascii="Arial" w:hAnsi="Arial"/>
              </w:rPr>
              <w:t xml:space="preserve"> les contrats : de maintenance (autocom, équipements de reprographie) de services (La Poste) ;</w:t>
            </w:r>
          </w:p>
          <w:p w:rsidR="00737B68" w:rsidRDefault="004331FB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Suivre</w:t>
            </w:r>
            <w:r w:rsidR="00763DED">
              <w:rPr>
                <w:rFonts w:ascii="Arial" w:hAnsi="Arial"/>
              </w:rPr>
              <w:t xml:space="preserve"> les contrats UGAP et les prestataires concernés</w:t>
            </w:r>
            <w:r>
              <w:rPr>
                <w:rFonts w:ascii="Arial" w:hAnsi="Arial"/>
              </w:rPr>
              <w:t xml:space="preserve"> </w:t>
            </w:r>
            <w:r w:rsidR="00763DED">
              <w:rPr>
                <w:rFonts w:ascii="Arial" w:hAnsi="Arial"/>
              </w:rPr>
              <w:t>: nettoyage des locaux et vitrerie, parc de photocopieurs ;</w:t>
            </w:r>
          </w:p>
          <w:p w:rsidR="00737B68" w:rsidRDefault="004331FB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Acheter</w:t>
            </w:r>
            <w:r w:rsidR="00763DED">
              <w:rPr>
                <w:rFonts w:ascii="Arial" w:hAnsi="Arial"/>
              </w:rPr>
              <w:t xml:space="preserve"> des fournitures et mobiliers : équipements, hygiène, fournitures de bureau, boissons, matériel pour réceptions, badges d’accès, serrures électroniques, mobiliers diverses….</w:t>
            </w:r>
          </w:p>
          <w:p w:rsidR="00737B68" w:rsidRPr="004331FB" w:rsidRDefault="004331FB" w:rsidP="004331FB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Mettre</w:t>
            </w:r>
            <w:r w:rsidR="00763DED">
              <w:rPr>
                <w:rFonts w:ascii="Arial" w:hAnsi="Arial"/>
              </w:rPr>
              <w:t xml:space="preserve"> en place et gérer les opérations de recyclage des déchets et de tri ;</w:t>
            </w:r>
          </w:p>
        </w:tc>
      </w:tr>
    </w:tbl>
    <w:p w:rsidR="00737B68" w:rsidRDefault="00737B68">
      <w:pPr>
        <w:pStyle w:val="TableContents"/>
      </w:pPr>
    </w:p>
    <w:tbl>
      <w:tblPr>
        <w:tblW w:w="10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9"/>
      </w:tblGrid>
      <w:tr w:rsidR="00737B68" w:rsidTr="0016771F">
        <w:tc>
          <w:tcPr>
            <w:tcW w:w="10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pStyle w:val="TableContents"/>
              <w:snapToGrid w:val="0"/>
            </w:pPr>
            <w:r>
              <w:rPr>
                <w:rFonts w:ascii="Arial" w:hAnsi="Arial"/>
                <w:b/>
                <w:bCs/>
              </w:rPr>
              <w:t>Compétences principales mises en œuvre : Expert</w:t>
            </w:r>
          </w:p>
        </w:tc>
      </w:tr>
      <w:tr w:rsidR="00737B68" w:rsidTr="0016771F">
        <w:tc>
          <w:tcPr>
            <w:tcW w:w="10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pStyle w:val="TableContents"/>
              <w:snapToGrid w:val="0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Compétences techniques :</w:t>
            </w:r>
          </w:p>
          <w:p w:rsidR="00737B68" w:rsidRDefault="004331F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Maîtrise</w:t>
            </w:r>
            <w:r w:rsidR="00763DED">
              <w:rPr>
                <w:rFonts w:ascii="Arial" w:hAnsi="Arial"/>
                <w:color w:val="000000"/>
              </w:rPr>
              <w:t xml:space="preserve"> des outils informatiques courants (Word, Excel...)</w:t>
            </w:r>
          </w:p>
          <w:p w:rsidR="00737B68" w:rsidRDefault="004331FB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  <w:r w:rsidR="00763DED">
              <w:rPr>
                <w:rFonts w:ascii="Arial" w:hAnsi="Arial"/>
              </w:rPr>
              <w:t xml:space="preserve"> du SSIAP1, SSIAP2 et de préférence SSIAP3</w:t>
            </w:r>
          </w:p>
          <w:p w:rsidR="00737B68" w:rsidRDefault="00763DED">
            <w:pPr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Arial" w:hAnsi="Arial"/>
              </w:rPr>
              <w:t>maîtrise des règles d'hygiène et de sécurité dans un ERP de 2</w:t>
            </w:r>
            <w:proofErr w:type="spellStart"/>
            <w:r>
              <w:rPr>
                <w:rFonts w:ascii="Arial" w:hAnsi="Arial"/>
                <w:position w:val="24"/>
                <w:sz w:val="16"/>
              </w:rPr>
              <w:t>ème</w:t>
            </w:r>
            <w:proofErr w:type="spellEnd"/>
            <w:r>
              <w:rPr>
                <w:rFonts w:ascii="Arial" w:hAnsi="Arial"/>
              </w:rPr>
              <w:t xml:space="preserve"> catégorie, type R avec activités secondaires de type N, L et S</w:t>
            </w:r>
          </w:p>
        </w:tc>
      </w:tr>
      <w:tr w:rsidR="00737B68" w:rsidTr="0016771F">
        <w:tc>
          <w:tcPr>
            <w:tcW w:w="10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Pr="00D34D67" w:rsidRDefault="00737B68">
            <w:pPr>
              <w:pStyle w:val="TableContents"/>
              <w:snapToGrid w:val="0"/>
              <w:rPr>
                <w:rFonts w:ascii="Arial" w:hAnsi="Arial"/>
                <w:sz w:val="16"/>
                <w:szCs w:val="16"/>
                <w:u w:val="single"/>
              </w:rPr>
            </w:pPr>
          </w:p>
          <w:tbl>
            <w:tblPr>
              <w:tblW w:w="1043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737B68">
              <w:tc>
                <w:tcPr>
                  <w:tcW w:w="10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37B68" w:rsidRDefault="00763DED">
                  <w:pPr>
                    <w:pStyle w:val="TableContents"/>
                    <w:snapToGrid w:val="0"/>
                    <w:rPr>
                      <w:rFonts w:ascii="Arial" w:hAnsi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Savoir-faire</w:t>
                  </w:r>
                </w:p>
                <w:p w:rsidR="00737B68" w:rsidRDefault="004331FB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Capacité</w:t>
                  </w:r>
                  <w:r w:rsidR="00763DED">
                    <w:rPr>
                      <w:rFonts w:ascii="Arial" w:hAnsi="Arial"/>
                    </w:rPr>
                    <w:t xml:space="preserve"> d’analyse et d’alerte,</w:t>
                  </w:r>
                </w:p>
                <w:p w:rsidR="00737B68" w:rsidRDefault="004331FB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Aptitude</w:t>
                  </w:r>
                  <w:r w:rsidR="00763DED">
                    <w:rPr>
                      <w:rFonts w:ascii="Arial" w:hAnsi="Arial"/>
                    </w:rPr>
                    <w:t xml:space="preserve"> à l'encadrement et à l'animation d'une équipe</w:t>
                  </w:r>
                </w:p>
                <w:p w:rsidR="00737B68" w:rsidRDefault="004331FB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Capacité</w:t>
                  </w:r>
                  <w:r w:rsidR="00763DED">
                    <w:rPr>
                      <w:rFonts w:ascii="Arial" w:hAnsi="Arial"/>
                    </w:rPr>
                    <w:t xml:space="preserve"> à organiser, planifier et prioriser,</w:t>
                  </w:r>
                </w:p>
                <w:p w:rsidR="00737B68" w:rsidRDefault="00763DED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fortes autonomie et initiative</w:t>
                  </w:r>
                </w:p>
              </w:tc>
            </w:tr>
            <w:tr w:rsidR="00737B68">
              <w:tc>
                <w:tcPr>
                  <w:tcW w:w="10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37B68" w:rsidRDefault="00763DED">
                  <w:pPr>
                    <w:pStyle w:val="TableContents"/>
                    <w:snapToGrid w:val="0"/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 xml:space="preserve">Savoir-être 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(compétences comportementales)</w:t>
                  </w:r>
                </w:p>
                <w:p w:rsidR="00737B68" w:rsidRDefault="004331FB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Forte</w:t>
                  </w:r>
                  <w:r w:rsidR="00763DED">
                    <w:rPr>
                      <w:rFonts w:ascii="Arial" w:hAnsi="Arial"/>
                    </w:rPr>
                    <w:t xml:space="preserve"> réactivité,</w:t>
                  </w:r>
                </w:p>
                <w:p w:rsidR="00737B68" w:rsidRDefault="004331FB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Sens</w:t>
                  </w:r>
                  <w:r w:rsidR="00763DED">
                    <w:rPr>
                      <w:rFonts w:ascii="Arial" w:hAnsi="Arial"/>
                    </w:rPr>
                    <w:t xml:space="preserve"> aigu des relations humaines,</w:t>
                  </w:r>
                </w:p>
                <w:p w:rsidR="00737B68" w:rsidRDefault="004331FB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Force</w:t>
                  </w:r>
                  <w:r w:rsidR="00763DED">
                    <w:rPr>
                      <w:rFonts w:ascii="Arial" w:hAnsi="Arial"/>
                    </w:rPr>
                    <w:t xml:space="preserve"> de proposition</w:t>
                  </w:r>
                </w:p>
                <w:p w:rsidR="00737B68" w:rsidRDefault="004331FB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Grande</w:t>
                  </w:r>
                  <w:r w:rsidR="00763DED">
                    <w:rPr>
                      <w:rFonts w:ascii="Arial" w:hAnsi="Arial"/>
                    </w:rPr>
                    <w:t xml:space="preserve"> disponibilité, ponctualité,</w:t>
                  </w:r>
                </w:p>
                <w:p w:rsidR="00737B68" w:rsidRPr="0016771F" w:rsidRDefault="00763DED" w:rsidP="0016771F">
                  <w:pPr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grand sens du service public</w:t>
                  </w:r>
                </w:p>
              </w:tc>
            </w:tr>
          </w:tbl>
          <w:p w:rsidR="00737B68" w:rsidRDefault="00737B68">
            <w:pPr>
              <w:rPr>
                <w:rFonts w:ascii="Arial" w:hAnsi="Arial"/>
              </w:rPr>
            </w:pPr>
          </w:p>
        </w:tc>
      </w:tr>
    </w:tbl>
    <w:p w:rsidR="00737B68" w:rsidRDefault="00737B68">
      <w:pPr>
        <w:pStyle w:val="TableContents"/>
      </w:pPr>
    </w:p>
    <w:tbl>
      <w:tblPr>
        <w:tblW w:w="1042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24"/>
      </w:tblGrid>
      <w:tr w:rsidR="00737B68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rPr>
                <w:rFonts w:ascii="paris-belleville" w:hAnsi="paris-belleville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E</w:t>
            </w:r>
            <w:r>
              <w:rPr>
                <w:rFonts w:ascii="paris-belleville" w:hAnsi="paris-belleville"/>
                <w:b/>
                <w:bCs/>
                <w:sz w:val="22"/>
                <w:szCs w:val="22"/>
                <w:u w:val="single"/>
              </w:rPr>
              <w:t>nvironnement professionnel :</w:t>
            </w:r>
          </w:p>
          <w:p w:rsidR="0016771F" w:rsidRPr="00637372" w:rsidRDefault="0016771F">
            <w:pPr>
              <w:rPr>
                <w:sz w:val="12"/>
                <w:szCs w:val="12"/>
              </w:rPr>
            </w:pPr>
          </w:p>
          <w:p w:rsidR="00737B68" w:rsidRDefault="00763DED">
            <w:r>
              <w:rPr>
                <w:rFonts w:ascii="Arial" w:hAnsi="Arial"/>
              </w:rPr>
              <w:t>L'</w:t>
            </w:r>
            <w:proofErr w:type="spellStart"/>
            <w:r>
              <w:rPr>
                <w:rFonts w:ascii="Arial" w:hAnsi="Arial"/>
              </w:rPr>
              <w:t>Ensa</w:t>
            </w:r>
            <w:proofErr w:type="spellEnd"/>
            <w:r>
              <w:rPr>
                <w:rFonts w:ascii="Arial" w:hAnsi="Arial"/>
              </w:rPr>
              <w:t xml:space="preserve">-Paris-Belleville est un établissement d'enseignement supérieur relevant du ministère de la culture. Elle est membre associé de l’Université Paris-Est (UPE), </w:t>
            </w:r>
            <w:r>
              <w:rPr>
                <w:rFonts w:ascii="Arial" w:hAnsi="Arial"/>
                <w:color w:val="000000"/>
              </w:rPr>
              <w:t>une communauté d’universités et de grandes écoles qui regroupe universités, écoles d‘architecture et d’ingénieurs, centres de recherche… travaillant notamment sur la question de la ville. </w:t>
            </w:r>
          </w:p>
          <w:p w:rsidR="00737B68" w:rsidRDefault="00763D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 accueille environ 1100 étudiants qui sont encadrés par plus de 200 enseignants titulaires et contractuels. L’équipe administrative et technique est composée d'une soixantaine de personnes.</w:t>
            </w:r>
          </w:p>
          <w:p w:rsidR="0016771F" w:rsidRDefault="0016771F"/>
          <w:p w:rsidR="00737B68" w:rsidRDefault="00763DED">
            <w:pPr>
              <w:pStyle w:val="Corpsdetexte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Dans le cadre de sa stratégie de Responsabilité Sociale des Organisations (RSO), le ministère de la Culture et ses établissements publics s’engagent à promouvoir l’égalité professionnelle et la prévention des discriminations dans leurs activités de recrutement. Une cellule d’écoute, d’alerte et de traitement est mise à la disposition des candidats ou des agents qui estimeraient avoir fait l’objet d’une rupture d’égalité de traitemen</w:t>
            </w:r>
            <w:r>
              <w:rPr>
                <w:rFonts w:ascii="Arial" w:hAnsi="Arial"/>
                <w:sz w:val="20"/>
                <w:szCs w:val="20"/>
              </w:rPr>
              <w:t>t.</w:t>
            </w:r>
          </w:p>
          <w:p w:rsidR="00737B68" w:rsidRDefault="00763DED">
            <w:pPr>
              <w:pStyle w:val="Contenudetableau"/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Liaisons hiérarchiques :</w:t>
            </w:r>
          </w:p>
          <w:p w:rsidR="00737B68" w:rsidRDefault="00763DE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Le directeur et la directrice adjointe, la directrice des ressources humaines et des moyens de fonctionnement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16771F" w:rsidRPr="00637372" w:rsidRDefault="0016771F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737B68" w:rsidRDefault="00763DED">
            <w:pPr>
              <w:pStyle w:val="TableContents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Liaisons fonctionnelles :</w:t>
            </w:r>
          </w:p>
          <w:p w:rsidR="00737B68" w:rsidRDefault="00763DED" w:rsidP="0016771F">
            <w:pPr>
              <w:jc w:val="both"/>
            </w:pPr>
            <w:r>
              <w:rPr>
                <w:rFonts w:ascii="Arial" w:hAnsi="Arial"/>
              </w:rPr>
              <w:t xml:space="preserve">étroite collaboration avec </w:t>
            </w:r>
            <w:proofErr w:type="spellStart"/>
            <w:r>
              <w:rPr>
                <w:rFonts w:ascii="Arial" w:hAnsi="Arial"/>
              </w:rPr>
              <w:t>la.le</w:t>
            </w:r>
            <w:proofErr w:type="spellEnd"/>
            <w:r>
              <w:rPr>
                <w:rFonts w:ascii="Arial" w:hAnsi="Arial"/>
              </w:rPr>
              <w:t xml:space="preserve"> TSC responsable de la garde du site et l’ensemble des services de </w:t>
            </w:r>
            <w:r>
              <w:rPr>
                <w:rFonts w:ascii="Arial" w:hAnsi="Arial"/>
              </w:rPr>
              <w:lastRenderedPageBreak/>
              <w:t>l’Ecole.</w:t>
            </w:r>
          </w:p>
        </w:tc>
      </w:tr>
    </w:tbl>
    <w:p w:rsidR="00737B68" w:rsidRDefault="00737B68">
      <w:pPr>
        <w:pStyle w:val="TableContents"/>
      </w:pPr>
    </w:p>
    <w:tbl>
      <w:tblPr>
        <w:tblW w:w="104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7"/>
      </w:tblGrid>
      <w:tr w:rsidR="00737B68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Perspectives d'évolution :</w:t>
            </w:r>
          </w:p>
        </w:tc>
      </w:tr>
    </w:tbl>
    <w:p w:rsidR="00737B68" w:rsidRDefault="00737B68">
      <w:pPr>
        <w:pStyle w:val="TableContents"/>
      </w:pPr>
    </w:p>
    <w:tbl>
      <w:tblPr>
        <w:tblW w:w="104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7"/>
      </w:tblGrid>
      <w:tr w:rsidR="00737B68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pStyle w:val="TableContents"/>
              <w:snapToGrid w:val="0"/>
            </w:pPr>
            <w:r>
              <w:rPr>
                <w:b/>
                <w:bCs/>
              </w:rPr>
              <w:t xml:space="preserve">Spécificités du poste / Contraintes / Sujétions : </w:t>
            </w:r>
            <w:r>
              <w:rPr>
                <w:rFonts w:ascii="Arial" w:hAnsi="Arial"/>
                <w:sz w:val="22"/>
                <w:szCs w:val="22"/>
              </w:rPr>
              <w:t>quelques samedis travaillés dans l’année,</w:t>
            </w:r>
          </w:p>
          <w:p w:rsidR="00737B68" w:rsidRDefault="0016771F">
            <w:pPr>
              <w:pStyle w:val="Contenudetableau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Astreintes</w:t>
            </w:r>
            <w:r w:rsidR="00763DED">
              <w:rPr>
                <w:rFonts w:ascii="Arial" w:hAnsi="Arial"/>
                <w:sz w:val="22"/>
                <w:szCs w:val="22"/>
              </w:rPr>
              <w:t xml:space="preserve"> occasionnelles en soirée. </w:t>
            </w:r>
          </w:p>
        </w:tc>
      </w:tr>
    </w:tbl>
    <w:p w:rsidR="00737B68" w:rsidRDefault="00737B68">
      <w:pPr>
        <w:pStyle w:val="TableContents"/>
      </w:pPr>
    </w:p>
    <w:tbl>
      <w:tblPr>
        <w:tblW w:w="104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7"/>
      </w:tblGrid>
      <w:tr w:rsidR="00737B68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pStyle w:val="TableContents"/>
              <w:snapToGrid w:val="0"/>
            </w:pPr>
            <w:r>
              <w:rPr>
                <w:b/>
                <w:bCs/>
              </w:rPr>
              <w:t>Profil du candidat recherché (le cas échéant) :</w:t>
            </w:r>
            <w:r>
              <w:rPr>
                <w:rFonts w:ascii="Arial" w:hAnsi="Arial"/>
              </w:rPr>
              <w:t xml:space="preserve"> e</w:t>
            </w:r>
            <w:r>
              <w:rPr>
                <w:rFonts w:ascii="Arial" w:hAnsi="Arial"/>
                <w:sz w:val="22"/>
                <w:szCs w:val="22"/>
              </w:rPr>
              <w:t>xpérience sur un poste similaire</w:t>
            </w:r>
          </w:p>
        </w:tc>
      </w:tr>
    </w:tbl>
    <w:p w:rsidR="00737B68" w:rsidRDefault="00737B68"/>
    <w:tbl>
      <w:tblPr>
        <w:tblW w:w="104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7"/>
      </w:tblGrid>
      <w:tr w:rsidR="00737B68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Pr="0016771F" w:rsidRDefault="00763DED" w:rsidP="0016771F">
            <w:pPr>
              <w:pStyle w:val="Contenudetableau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Qui contacter ?</w:t>
            </w:r>
          </w:p>
          <w:p w:rsidR="00737B68" w:rsidRDefault="00763DED">
            <w:pPr>
              <w:pStyle w:val="TableContents"/>
            </w:pPr>
            <w:r>
              <w:rPr>
                <w:rFonts w:ascii="Arial" w:hAnsi="Arial" w:cs="Arial"/>
                <w:b/>
                <w:bCs/>
              </w:rPr>
              <w:t xml:space="preserve">Informations 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Agnès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Beauvallet</w:t>
            </w:r>
            <w:proofErr w:type="spellEnd"/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directrice des ressources humaines et des moyens de fonctionnement - </w:t>
            </w:r>
            <w:hyperlink r:id="rId7" w:history="1">
              <w:r w:rsidR="0016771F" w:rsidRPr="00C1572D">
                <w:rPr>
                  <w:rStyle w:val="Lienhypertexte"/>
                  <w:rFonts w:ascii="Arial" w:hAnsi="Arial" w:cs="Arial"/>
                  <w:sz w:val="22"/>
                  <w:szCs w:val="22"/>
                </w:rPr>
                <w:t>agnes.beauvallet@paris-belleville.archi.fr</w:t>
              </w:r>
            </w:hyperlink>
            <w:r w:rsidR="001677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7B68" w:rsidRDefault="00737B68">
            <w:pPr>
              <w:pStyle w:val="Contenudetableau"/>
              <w:rPr>
                <w:rFonts w:ascii="Arial" w:hAnsi="Arial" w:cs="Arial"/>
              </w:rPr>
            </w:pPr>
          </w:p>
          <w:p w:rsidR="00737B68" w:rsidRDefault="00763DED">
            <w:pPr>
              <w:pStyle w:val="Contenudetableau"/>
            </w:pPr>
            <w:r>
              <w:rPr>
                <w:rFonts w:ascii="Arial" w:hAnsi="Arial"/>
                <w:b/>
                <w:bCs/>
              </w:rPr>
              <w:t xml:space="preserve">Envois des candidatures :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lettre de motivation, CV et photocopie de la fiche de poste publiée sur la PEP avant la date d'échéance de la publication à : Florence Ibarra, directrice adjointe, </w:t>
            </w:r>
            <w:hyperlink r:id="rId8" w:history="1">
              <w:r w:rsidR="0016771F" w:rsidRPr="00C1572D">
                <w:rPr>
                  <w:rStyle w:val="Lienhypertexte"/>
                  <w:rFonts w:ascii="Arial" w:hAnsi="Arial"/>
                  <w:bCs/>
                  <w:sz w:val="22"/>
                  <w:szCs w:val="22"/>
                </w:rPr>
                <w:t>florence.ibarra@paris-belleville.archi.fr</w:t>
              </w:r>
            </w:hyperlink>
            <w:r w:rsidR="0016771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  <w:p w:rsidR="00737B68" w:rsidRDefault="00737B68">
            <w:pPr>
              <w:pStyle w:val="Contenudetableau"/>
              <w:rPr>
                <w:rFonts w:ascii="Arial" w:hAnsi="Arial"/>
              </w:rPr>
            </w:pPr>
          </w:p>
          <w:p w:rsidR="0016771F" w:rsidRDefault="0016771F" w:rsidP="0016771F">
            <w:pPr>
              <w:pStyle w:val="TableContentsuser"/>
              <w:ind w:left="510"/>
              <w:rPr>
                <w:sz w:val="21"/>
                <w:szCs w:val="21"/>
                <w:shd w:val="clear" w:color="auto" w:fill="FFFBCC"/>
              </w:rPr>
            </w:pPr>
            <w:r>
              <w:rPr>
                <w:sz w:val="21"/>
                <w:szCs w:val="21"/>
                <w:shd w:val="clear" w:color="auto" w:fill="FFFBCC"/>
              </w:rPr>
              <w:t xml:space="preserve">Une copie de la candidature (lettre + CV) doit </w:t>
            </w:r>
            <w:r>
              <w:rPr>
                <w:b/>
                <w:bCs/>
                <w:sz w:val="21"/>
                <w:szCs w:val="21"/>
                <w:shd w:val="clear" w:color="auto" w:fill="FFFBCC"/>
              </w:rPr>
              <w:t>obligatoirement</w:t>
            </w:r>
            <w:r>
              <w:rPr>
                <w:sz w:val="21"/>
                <w:szCs w:val="21"/>
                <w:shd w:val="clear" w:color="auto" w:fill="FFFBCC"/>
              </w:rPr>
              <w:t xml:space="preserve"> être adressée par le candidat par courriel, à l’adresse suivante : </w:t>
            </w:r>
          </w:p>
          <w:p w:rsidR="00737B68" w:rsidRDefault="00B614A4" w:rsidP="0016771F">
            <w:pPr>
              <w:pStyle w:val="TableContents"/>
              <w:ind w:left="510"/>
              <w:rPr>
                <w:rFonts w:ascii="Arial" w:hAnsi="Arial"/>
              </w:rPr>
            </w:pPr>
            <w:hyperlink r:id="rId9" w:history="1">
              <w:r w:rsidR="0016771F" w:rsidRPr="00520889">
                <w:rPr>
                  <w:b/>
                  <w:sz w:val="21"/>
                  <w:szCs w:val="21"/>
                  <w:u w:val="single"/>
                  <w:shd w:val="clear" w:color="auto" w:fill="FFFBCC"/>
                </w:rPr>
                <w:t>candidature.dgp@culture.gouv.fr</w:t>
              </w:r>
            </w:hyperlink>
            <w:r w:rsidR="0016771F">
              <w:rPr>
                <w:sz w:val="21"/>
                <w:szCs w:val="21"/>
                <w:shd w:val="clear" w:color="auto" w:fill="FFFBCC"/>
              </w:rPr>
              <w:t xml:space="preserve">, </w:t>
            </w:r>
            <w:r w:rsidR="0016771F" w:rsidRPr="00520889">
              <w:rPr>
                <w:bCs/>
                <w:sz w:val="21"/>
                <w:szCs w:val="21"/>
                <w:shd w:val="clear" w:color="auto" w:fill="FFFBCC"/>
              </w:rPr>
              <w:t>en précisant dans l’objet du message :</w:t>
            </w:r>
            <w:r w:rsidR="0016771F">
              <w:rPr>
                <w:b/>
                <w:bCs/>
                <w:sz w:val="21"/>
                <w:szCs w:val="21"/>
                <w:shd w:val="clear" w:color="auto" w:fill="FFFBCC"/>
              </w:rPr>
              <w:t xml:space="preserve"> l’intitulé du poste, le corps concerné et le numéro PEP de la fiche de poste </w:t>
            </w:r>
            <w:r w:rsidR="0016771F">
              <w:rPr>
                <w:sz w:val="21"/>
                <w:szCs w:val="21"/>
                <w:shd w:val="clear" w:color="auto" w:fill="FFFBCC"/>
              </w:rPr>
              <w:t>(ex : Candidature agent d’accueil, de surveillance et de magasinage (AASM), fiche PEP n ° 2021-XXX).</w:t>
            </w:r>
          </w:p>
        </w:tc>
      </w:tr>
    </w:tbl>
    <w:p w:rsidR="00737B68" w:rsidRDefault="00737B68">
      <w:pPr>
        <w:pStyle w:val="TableContents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4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7"/>
      </w:tblGrid>
      <w:tr w:rsidR="00737B68">
        <w:tc>
          <w:tcPr>
            <w:tcW w:w="10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B68" w:rsidRDefault="00763DED">
            <w:pPr>
              <w:pStyle w:val="TableContents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Modalités de recrutement</w:t>
            </w:r>
          </w:p>
          <w:p w:rsidR="00737B68" w:rsidRDefault="00763DED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les candidatures seront examinées collégialement par au moins 2 personnes formées au processus de recrutement</w:t>
            </w:r>
          </w:p>
        </w:tc>
      </w:tr>
    </w:tbl>
    <w:p w:rsidR="00737B68" w:rsidRDefault="00763DED">
      <w:pPr>
        <w:pStyle w:val="TableContents"/>
      </w:pPr>
      <w:r>
        <w:rPr>
          <w:rFonts w:ascii="paris-belleville" w:hAnsi="paris-belleville"/>
          <w:b/>
          <w:bCs/>
          <w:sz w:val="20"/>
          <w:szCs w:val="20"/>
        </w:rPr>
        <w:t xml:space="preserve">Date de mise à jour </w:t>
      </w:r>
      <w:r w:rsidR="0016771F">
        <w:rPr>
          <w:rFonts w:ascii="paris-belleville" w:hAnsi="paris-belleville"/>
          <w:b/>
          <w:bCs/>
          <w:sz w:val="20"/>
          <w:szCs w:val="20"/>
        </w:rPr>
        <w:t>de la fiche de poste : 21/10/</w:t>
      </w:r>
      <w:r>
        <w:rPr>
          <w:rFonts w:ascii="paris-belleville" w:hAnsi="paris-belleville"/>
          <w:b/>
          <w:bCs/>
          <w:sz w:val="20"/>
          <w:szCs w:val="20"/>
        </w:rPr>
        <w:t>2021</w:t>
      </w:r>
    </w:p>
    <w:sectPr w:rsidR="00737B68">
      <w:pgSz w:w="11906" w:h="16838"/>
      <w:pgMar w:top="397" w:right="737" w:bottom="397" w:left="73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NeueLT Std">
    <w:altName w:val="Arial"/>
    <w:charset w:val="00"/>
    <w:family w:val="swiss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ris-belleville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B7C"/>
    <w:multiLevelType w:val="multilevel"/>
    <w:tmpl w:val="53C0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F10608"/>
    <w:multiLevelType w:val="multilevel"/>
    <w:tmpl w:val="1472C0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6F7016"/>
    <w:multiLevelType w:val="multilevel"/>
    <w:tmpl w:val="A49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7486F"/>
    <w:multiLevelType w:val="multilevel"/>
    <w:tmpl w:val="0F68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0464D4"/>
    <w:multiLevelType w:val="multilevel"/>
    <w:tmpl w:val="D8C205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8"/>
    <w:rsid w:val="00080B7C"/>
    <w:rsid w:val="0016771F"/>
    <w:rsid w:val="004331FB"/>
    <w:rsid w:val="00583041"/>
    <w:rsid w:val="00637372"/>
    <w:rsid w:val="00737B68"/>
    <w:rsid w:val="00763DED"/>
    <w:rsid w:val="00AF57A5"/>
    <w:rsid w:val="00B614A4"/>
    <w:rsid w:val="00D3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6016-A37C-4BE8-934B-037D356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dCorpsdetexte1">
    <w:name w:val="d. Corps de texte1"/>
    <w:qFormat/>
    <w:rPr>
      <w:rFonts w:ascii="HelveticaNeueLT Std" w:hAnsi="HelveticaNeueLT Std"/>
      <w:color w:val="000000"/>
      <w:sz w:val="20"/>
    </w:rPr>
  </w:style>
  <w:style w:type="character" w:styleId="Lienhypertexte">
    <w:name w:val="Hyperlink"/>
    <w:basedOn w:val="Policepardfaut"/>
    <w:qFormat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Calibri" w:eastAsia="Calibri" w:hAnsi="Calibri" w:cs="Calibri"/>
      <w:sz w:val="24"/>
    </w:rPr>
  </w:style>
  <w:style w:type="character" w:customStyle="1" w:styleId="WWCharLFO1LVL2">
    <w:name w:val="WW_CharLFO1LVL2"/>
    <w:qFormat/>
    <w:rPr>
      <w:rFonts w:ascii="Courier New" w:hAnsi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2">
    <w:name w:val="WW_CharLFO2LVL2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3">
    <w:name w:val="WW_CharLFO2LVL3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4">
    <w:name w:val="WW_CharLFO2LVL4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5">
    <w:name w:val="WW_CharLFO2LVL5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6">
    <w:name w:val="WW_CharLFO2LVL6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7">
    <w:name w:val="WW_CharLFO2LVL7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8">
    <w:name w:val="WW_CharLFO2LVL8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9">
    <w:name w:val="WW_CharLFO2LVL9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3LVL1">
    <w:name w:val="WW_CharLFO3LVL1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3LVL2">
    <w:name w:val="WW_CharLFO3LVL2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3LVL3">
    <w:name w:val="WW_CharLFO3LVL3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3LVL4">
    <w:name w:val="WW_CharLFO3LVL4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3LVL5">
    <w:name w:val="WW_CharLFO3LVL5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3LVL6">
    <w:name w:val="WW_CharLFO3LVL6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3LVL7">
    <w:name w:val="WW_CharLFO3LVL7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3LVL8">
    <w:name w:val="WW_CharLFO3LVL8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3LVL9">
    <w:name w:val="WW_CharLFO3LVL9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4LVL1">
    <w:name w:val="WW_CharLFO4LVL1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4LVL2">
    <w:name w:val="WW_CharLFO4LVL2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4LVL3">
    <w:name w:val="WW_CharLFO4LVL3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4LVL4">
    <w:name w:val="WW_CharLFO4LVL4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4LVL5">
    <w:name w:val="WW_CharLFO4LVL5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4LVL6">
    <w:name w:val="WW_CharLFO4LVL6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4LVL7">
    <w:name w:val="WW_CharLFO4LVL7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4LVL8">
    <w:name w:val="WW_CharLFO4LVL8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4LVL9">
    <w:name w:val="WW_CharLFO4LVL9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5LVL1">
    <w:name w:val="WW_CharLFO5LVL1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5LVL2">
    <w:name w:val="WW_CharLFO5LVL2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5LVL3">
    <w:name w:val="WW_CharLFO5LVL3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5LVL4">
    <w:name w:val="WW_CharLFO5LVL4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5LVL5">
    <w:name w:val="WW_CharLFO5LVL5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5LVL6">
    <w:name w:val="WW_CharLFO5LVL6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5LVL7">
    <w:name w:val="WW_CharLFO5LVL7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5LVL8">
    <w:name w:val="WW_CharLFO5LVL8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5LVL9">
    <w:name w:val="WW_CharLFO5LVL9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6LVL1">
    <w:name w:val="WW_CharLFO6LVL1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6LVL2">
    <w:name w:val="WW_CharLFO6LVL2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6LVL3">
    <w:name w:val="WW_CharLFO6LVL3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6LVL4">
    <w:name w:val="WW_CharLFO6LVL4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6LVL5">
    <w:name w:val="WW_CharLFO6LVL5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6LVL6">
    <w:name w:val="WW_CharLFO6LVL6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6LVL7">
    <w:name w:val="WW_CharLFO6LVL7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6LVL8">
    <w:name w:val="WW_CharLFO6LVL8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6LVL9">
    <w:name w:val="WW_CharLFO6LVL9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7LVL1">
    <w:name w:val="WW_CharLFO7LVL1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7LVL2">
    <w:name w:val="WW_CharLFO7LVL2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7LVL3">
    <w:name w:val="WW_CharLFO7LVL3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7LVL4">
    <w:name w:val="WW_CharLFO7LVL4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7LVL5">
    <w:name w:val="WW_CharLFO7LVL5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7LVL6">
    <w:name w:val="WW_CharLFO7LVL6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7LVL7">
    <w:name w:val="WW_CharLFO7LVL7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7LVL8">
    <w:name w:val="WW_CharLFO7LVL8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7LVL9">
    <w:name w:val="WW_CharLFO7LVL9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Arial" w:eastAsia="SimSun" w:hAnsi="Arial" w:cs="Aria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  <w:style w:type="paragraph" w:styleId="Corpsdetexte2">
    <w:name w:val="Body Text 2"/>
    <w:basedOn w:val="Normal"/>
    <w:qFormat/>
    <w:pPr>
      <w:ind w:firstLine="708"/>
    </w:pPr>
    <w:rPr>
      <w:b/>
      <w:b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818"/>
        <w:tab w:val="right" w:pos="9637"/>
      </w:tabs>
    </w:pPr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LO-Normal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ansinterligne">
    <w:name w:val="No Spacing"/>
    <w:qFormat/>
    <w:pPr>
      <w:widowControl w:val="0"/>
      <w:suppressAutoHyphens/>
    </w:pPr>
    <w:rPr>
      <w:szCs w:val="21"/>
    </w:rPr>
  </w:style>
  <w:style w:type="paragraph" w:customStyle="1" w:styleId="TableContentsuser">
    <w:name w:val="Table Contents (user)"/>
    <w:basedOn w:val="Normal"/>
    <w:rsid w:val="0016771F"/>
    <w:pPr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ibarra@paris-belleville.arch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s.beauvallet@paris-belleville.arch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ndidature.dgp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BEAUVALLET Agnes</dc:creator>
  <dc:description/>
  <cp:lastModifiedBy>stephanie guyard</cp:lastModifiedBy>
  <cp:revision>2</cp:revision>
  <dcterms:created xsi:type="dcterms:W3CDTF">2021-10-26T08:50:00Z</dcterms:created>
  <dcterms:modified xsi:type="dcterms:W3CDTF">2021-10-26T08:50:00Z</dcterms:modified>
  <dc:language>fr-FR</dc:language>
</cp:coreProperties>
</file>