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8C46" w14:textId="6154F12F" w:rsidR="00B95D8E" w:rsidRDefault="007A6C8E" w:rsidP="00CF4B97">
      <w:pPr>
        <w:jc w:val="center"/>
      </w:pPr>
      <w:bookmarkStart w:id="0" w:name="_GoBack"/>
      <w:bookmarkEnd w:id="0"/>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4C5882">
        <w:rPr>
          <w:sz w:val="28"/>
          <w:szCs w:val="28"/>
          <w:lang w:val="fr-FR"/>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3D0521F6" w14:textId="30D7D489" w:rsidR="00825DE0" w:rsidRPr="00C355B3" w:rsidRDefault="008C53EC" w:rsidP="00B20110">
      <w:pPr>
        <w:spacing w:after="0" w:line="240" w:lineRule="auto"/>
        <w:jc w:val="center"/>
        <w:rPr>
          <w:rFonts w:ascii="Times New Roman" w:hAnsi="Times New Roman"/>
          <w:sz w:val="34"/>
          <w:szCs w:val="34"/>
        </w:rPr>
      </w:pPr>
      <w:r w:rsidRPr="00C355B3">
        <w:rPr>
          <w:rFonts w:ascii="Times New Roman" w:hAnsi="Times New Roman"/>
          <w:sz w:val="34"/>
          <w:szCs w:val="34"/>
        </w:rPr>
        <w:t>CON</w:t>
      </w:r>
      <w:r w:rsidR="009D3805" w:rsidRPr="00C355B3">
        <w:rPr>
          <w:rFonts w:ascii="Times New Roman" w:hAnsi="Times New Roman"/>
          <w:sz w:val="34"/>
          <w:szCs w:val="34"/>
        </w:rPr>
        <w:t>C</w:t>
      </w:r>
      <w:r w:rsidRPr="00C355B3">
        <w:rPr>
          <w:rFonts w:ascii="Times New Roman" w:hAnsi="Times New Roman"/>
          <w:sz w:val="34"/>
          <w:szCs w:val="34"/>
        </w:rPr>
        <w:t xml:space="preserve">OURS EXTERNE </w:t>
      </w:r>
      <w:r w:rsidR="00E458AA" w:rsidRPr="00C355B3">
        <w:rPr>
          <w:rFonts w:ascii="Times New Roman" w:hAnsi="Times New Roman"/>
          <w:sz w:val="34"/>
          <w:szCs w:val="34"/>
        </w:rPr>
        <w:t>D’INGÉNIEUR DE RECHERCHE</w:t>
      </w:r>
      <w:r w:rsidR="00086DFE">
        <w:rPr>
          <w:rFonts w:ascii="Times New Roman" w:hAnsi="Times New Roman"/>
          <w:sz w:val="34"/>
          <w:szCs w:val="34"/>
        </w:rPr>
        <w:t xml:space="preserve"> DE 2</w:t>
      </w:r>
      <w:r w:rsidR="00086DFE" w:rsidRPr="00086DFE">
        <w:rPr>
          <w:rFonts w:ascii="Times New Roman" w:hAnsi="Times New Roman"/>
          <w:sz w:val="34"/>
          <w:szCs w:val="34"/>
          <w:vertAlign w:val="superscript"/>
        </w:rPr>
        <w:t>ème</w:t>
      </w:r>
      <w:r w:rsidR="00086DFE">
        <w:rPr>
          <w:rFonts w:ascii="Times New Roman" w:hAnsi="Times New Roman"/>
          <w:sz w:val="34"/>
          <w:szCs w:val="34"/>
        </w:rPr>
        <w:t xml:space="preserve"> CLASSE DU MINISTERE DE LA CULTURE, SESSION 2020</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113196CC" w14:textId="2BF23F0F" w:rsidR="00B95D8E" w:rsidRPr="00C355B3" w:rsidRDefault="00E613B4"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C355B3">
        <w:rPr>
          <w:rFonts w:ascii="Times New Roman" w:hAnsi="Times New Roman"/>
          <w:sz w:val="36"/>
          <w:szCs w:val="40"/>
        </w:rPr>
        <w:t xml:space="preserve">DOSSIER DE </w:t>
      </w:r>
      <w:r w:rsidR="008C53EC" w:rsidRPr="00C355B3">
        <w:rPr>
          <w:rFonts w:ascii="Times New Roman" w:hAnsi="Times New Roman"/>
          <w:sz w:val="36"/>
          <w:szCs w:val="40"/>
        </w:rPr>
        <w:t>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77777777"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w:t>
      </w:r>
      <w:proofErr w:type="spellStart"/>
      <w:r w:rsidRPr="00DC373A">
        <w:rPr>
          <w:rFonts w:ascii="Times New Roman" w:hAnsi="Times New Roman"/>
          <w:sz w:val="26"/>
          <w:szCs w:val="26"/>
        </w:rPr>
        <w:t>téléversé</w:t>
      </w:r>
      <w:proofErr w:type="spellEnd"/>
      <w:r w:rsidRPr="00DC373A">
        <w:rPr>
          <w:rFonts w:ascii="Times New Roman" w:hAnsi="Times New Roman"/>
          <w:sz w:val="26"/>
          <w:szCs w:val="26"/>
        </w:rPr>
        <w:t xml:space="preserve"> dans l’espace candidat de l’application d’inscription Cyclades à la rubrique « Mes justificatifs », au plus tard le 1</w:t>
      </w:r>
      <w:r w:rsidRPr="00DC373A">
        <w:rPr>
          <w:rFonts w:ascii="Times New Roman" w:hAnsi="Times New Roman"/>
          <w:sz w:val="26"/>
          <w:szCs w:val="26"/>
          <w:vertAlign w:val="superscript"/>
        </w:rPr>
        <w:t>er</w:t>
      </w:r>
      <w:r>
        <w:rPr>
          <w:rFonts w:ascii="Times New Roman" w:hAnsi="Times New Roman"/>
          <w:sz w:val="26"/>
          <w:szCs w:val="26"/>
        </w:rPr>
        <w:t xml:space="preserve"> </w:t>
      </w:r>
      <w:r w:rsidRPr="00DC373A">
        <w:rPr>
          <w:rFonts w:ascii="Times New Roman" w:hAnsi="Times New Roman"/>
          <w:sz w:val="26"/>
          <w:szCs w:val="26"/>
        </w:rPr>
        <w:t xml:space="preserve">février 2021, avant minuit, heure de Paris (heure de </w:t>
      </w:r>
      <w:proofErr w:type="spellStart"/>
      <w:r w:rsidRPr="00DC373A">
        <w:rPr>
          <w:rFonts w:ascii="Times New Roman" w:hAnsi="Times New Roman"/>
          <w:sz w:val="26"/>
          <w:szCs w:val="26"/>
        </w:rPr>
        <w:t>téléversement</w:t>
      </w:r>
      <w:proofErr w:type="spellEnd"/>
      <w:r w:rsidRPr="00DC373A">
        <w:rPr>
          <w:rFonts w:ascii="Times New Roman" w:hAnsi="Times New Roman"/>
          <w:sz w:val="26"/>
          <w:szCs w:val="26"/>
        </w:rPr>
        <w:t xml:space="preserve"> faisant </w:t>
      </w:r>
      <w:r w:rsidRPr="00541627">
        <w:rPr>
          <w:rFonts w:ascii="Times New Roman" w:hAnsi="Times New Roman"/>
          <w:sz w:val="26"/>
          <w:szCs w:val="26"/>
        </w:rPr>
        <w:t xml:space="preserve">foi). </w:t>
      </w:r>
    </w:p>
    <w:p w14:paraId="65616B8E" w14:textId="77777777" w:rsidR="001E68E3" w:rsidRPr="00541627" w:rsidRDefault="001E68E3" w:rsidP="001E68E3">
      <w:pPr>
        <w:jc w:val="both"/>
        <w:rPr>
          <w:rFonts w:ascii="Times New Roman" w:hAnsi="Times New Roman"/>
          <w:sz w:val="26"/>
          <w:szCs w:val="26"/>
        </w:rPr>
      </w:pPr>
      <w:r w:rsidRPr="00541627">
        <w:rPr>
          <w:rFonts w:ascii="Times New Roman" w:hAnsi="Times New Roman"/>
          <w:sz w:val="26"/>
          <w:szCs w:val="26"/>
        </w:rPr>
        <w:t xml:space="preserve">L’application Cyclades est accessible via le lien suivant : </w:t>
      </w:r>
      <w:hyperlink r:id="rId10" w:history="1">
        <w:r w:rsidRPr="00541627">
          <w:rPr>
            <w:rStyle w:val="Lienhypertexte"/>
            <w:rFonts w:ascii="Times New Roman" w:hAnsi="Times New Roman"/>
            <w:sz w:val="26"/>
            <w:szCs w:val="26"/>
          </w:rPr>
          <w:t>https://exacyc.orion.education.fr/cyccandidat/portal/accueil?codeER=&amp;domaine=</w:t>
        </w:r>
      </w:hyperlink>
      <w:r w:rsidRPr="00541627">
        <w:rPr>
          <w:rFonts w:ascii="Times New Roman" w:hAnsi="Times New Roman"/>
          <w:color w:val="CC3300"/>
          <w:sz w:val="26"/>
          <w:szCs w:val="26"/>
        </w:rPr>
        <w:t xml:space="preserve"> </w:t>
      </w:r>
    </w:p>
    <w:p w14:paraId="2B28AE8F" w14:textId="3EF568C0" w:rsidR="005D40D6" w:rsidRDefault="005D40D6" w:rsidP="00245FDF">
      <w:pPr>
        <w:spacing w:after="0" w:line="240" w:lineRule="auto"/>
        <w:jc w:val="center"/>
        <w:rPr>
          <w:rFonts w:ascii="Times New Roman" w:eastAsia="Times New Roman" w:hAnsi="Times New Roman"/>
          <w:sz w:val="26"/>
          <w:szCs w:val="26"/>
          <w:lang w:eastAsia="zh-CN"/>
        </w:rPr>
      </w:pPr>
    </w:p>
    <w:p w14:paraId="51D8C95C" w14:textId="4BE342DF" w:rsidR="00C355B3" w:rsidRDefault="00C355B3" w:rsidP="00C672F8">
      <w:pPr>
        <w:spacing w:after="0" w:line="240" w:lineRule="auto"/>
        <w:rPr>
          <w:rFonts w:ascii="Times New Roman" w:eastAsia="Times New Roman" w:hAnsi="Times New Roman"/>
          <w:sz w:val="24"/>
          <w:szCs w:val="24"/>
          <w:lang w:eastAsia="zh-CN"/>
        </w:rPr>
      </w:pPr>
    </w:p>
    <w:p w14:paraId="688948E4" w14:textId="77777777" w:rsidR="00086DFE" w:rsidRDefault="00086DFE" w:rsidP="00C672F8">
      <w:pPr>
        <w:spacing w:after="0" w:line="240" w:lineRule="auto"/>
        <w:rPr>
          <w:rFonts w:ascii="Times New Roman" w:eastAsia="Times New Roman" w:hAnsi="Times New Roman"/>
          <w:sz w:val="24"/>
          <w:szCs w:val="24"/>
          <w:lang w:eastAsia="zh-CN"/>
        </w:rPr>
      </w:pPr>
    </w:p>
    <w:p w14:paraId="513AD1F0" w14:textId="56426D5D"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750349D7"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5E411DEB"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1463ABE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0A172ABA"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________________________________________________________________________________________________________________________________________________________________________________________</w:t>
      </w:r>
    </w:p>
    <w:p w14:paraId="35CECDB4" w14:textId="77777777" w:rsidR="008C496C" w:rsidRDefault="008C496C" w:rsidP="00CC125E">
      <w:pPr>
        <w:spacing w:after="0" w:line="360" w:lineRule="auto"/>
        <w:jc w:val="both"/>
        <w:rPr>
          <w:rFonts w:ascii="Times New Roman" w:eastAsia="Times New Roman" w:hAnsi="Times New Roman"/>
          <w:b/>
          <w:szCs w:val="24"/>
          <w:lang w:eastAsia="zh-CN"/>
        </w:rPr>
      </w:pPr>
    </w:p>
    <w:p w14:paraId="2C69F11F" w14:textId="3C326645" w:rsidR="009D3805" w:rsidRPr="00AE017A" w:rsidRDefault="009D3805" w:rsidP="009D3805">
      <w:pPr>
        <w:spacing w:after="0" w:line="240" w:lineRule="auto"/>
        <w:jc w:val="both"/>
        <w:rPr>
          <w:rFonts w:ascii="Times New Roman" w:eastAsia="Times New Roman" w:hAnsi="Times New Roman"/>
          <w:b/>
          <w:szCs w:val="24"/>
          <w:lang w:eastAsia="zh-CN"/>
        </w:rPr>
      </w:pPr>
      <w:r w:rsidRPr="00AE017A">
        <w:rPr>
          <w:rFonts w:ascii="Times New Roman" w:eastAsia="Times New Roman" w:hAnsi="Times New Roman"/>
          <w:b/>
          <w:szCs w:val="24"/>
          <w:lang w:eastAsia="zh-CN"/>
        </w:rPr>
        <w:t>Spécialité et discipline choisies lors de l’inscription :</w:t>
      </w:r>
    </w:p>
    <w:p w14:paraId="7753EF40" w14:textId="77777777" w:rsidR="009D3805" w:rsidRPr="009D3805" w:rsidRDefault="009D3805" w:rsidP="009D3805">
      <w:pPr>
        <w:spacing w:after="0" w:line="240" w:lineRule="auto"/>
        <w:rPr>
          <w:rFonts w:ascii="Times New Roman" w:eastAsia="Times New Roman" w:hAnsi="Times New Roman"/>
          <w:b/>
          <w:sz w:val="6"/>
          <w:szCs w:val="6"/>
          <w:lang w:eastAsia="zh-CN"/>
        </w:rPr>
      </w:pPr>
    </w:p>
    <w:p w14:paraId="6A0E64E8"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spécialité</w:t>
      </w:r>
      <w:proofErr w:type="gramEnd"/>
      <w:r w:rsidRPr="00AE017A">
        <w:rPr>
          <w:rFonts w:ascii="Times New Roman" w:eastAsia="Times New Roman" w:hAnsi="Times New Roman"/>
          <w:szCs w:val="24"/>
          <w:lang w:eastAsia="zh-CN"/>
        </w:rPr>
        <w:t xml:space="preserve"> « sciences humaines et sociales »</w:t>
      </w:r>
    </w:p>
    <w:p w14:paraId="4541FF75"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sciences humaines »</w:t>
      </w:r>
    </w:p>
    <w:p w14:paraId="0FF209EB"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sciences sociales »</w:t>
      </w:r>
    </w:p>
    <w:p w14:paraId="53732AC0" w14:textId="77777777" w:rsidR="009D3805" w:rsidRPr="00AE017A" w:rsidRDefault="009D3805" w:rsidP="009D3805">
      <w:pPr>
        <w:spacing w:after="0" w:line="240" w:lineRule="auto"/>
        <w:rPr>
          <w:rFonts w:ascii="Times New Roman" w:eastAsia="Times New Roman" w:hAnsi="Times New Roman"/>
          <w:sz w:val="20"/>
          <w:lang w:eastAsia="zh-CN"/>
        </w:rPr>
      </w:pPr>
    </w:p>
    <w:p w14:paraId="043BF24D"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spécialité</w:t>
      </w:r>
      <w:proofErr w:type="gramEnd"/>
      <w:r w:rsidRPr="00AE017A">
        <w:rPr>
          <w:rFonts w:ascii="Times New Roman" w:eastAsia="Times New Roman" w:hAnsi="Times New Roman"/>
          <w:szCs w:val="24"/>
          <w:lang w:eastAsia="zh-CN"/>
        </w:rPr>
        <w:t xml:space="preserve"> « sciences appliquées aux sciences humaines et sociales »</w:t>
      </w:r>
    </w:p>
    <w:p w14:paraId="0ACB32B1" w14:textId="77777777"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instrumentation scientifique »</w:t>
      </w:r>
    </w:p>
    <w:p w14:paraId="3064650D" w14:textId="0E86D32E" w:rsidR="009D3805" w:rsidRPr="00AE017A"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analyse et traitement des biens culturels »</w:t>
      </w:r>
    </w:p>
    <w:p w14:paraId="024E4220" w14:textId="5DE07D62" w:rsidR="00FC4B73" w:rsidRPr="00AE017A" w:rsidRDefault="00FC4B73" w:rsidP="00FC4B73">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sciences de la nature et de l’environnement »</w:t>
      </w:r>
    </w:p>
    <w:p w14:paraId="656042DB" w14:textId="77777777" w:rsidR="00FC4B73" w:rsidRPr="00AE017A" w:rsidRDefault="00FC4B73" w:rsidP="009D3805">
      <w:pPr>
        <w:spacing w:after="0" w:line="240" w:lineRule="auto"/>
        <w:ind w:firstLine="708"/>
        <w:rPr>
          <w:rFonts w:ascii="Times New Roman" w:eastAsia="Times New Roman" w:hAnsi="Times New Roman"/>
          <w:szCs w:val="24"/>
          <w:lang w:eastAsia="zh-CN"/>
        </w:rPr>
      </w:pPr>
    </w:p>
    <w:p w14:paraId="1976D744" w14:textId="77777777" w:rsidR="009D3805" w:rsidRPr="00AE017A" w:rsidRDefault="009D3805" w:rsidP="009D3805">
      <w:pPr>
        <w:spacing w:after="0" w:line="240" w:lineRule="auto"/>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spécialité</w:t>
      </w:r>
      <w:proofErr w:type="gramEnd"/>
      <w:r w:rsidRPr="00AE017A">
        <w:rPr>
          <w:rFonts w:ascii="Times New Roman" w:eastAsia="Times New Roman" w:hAnsi="Times New Roman"/>
          <w:szCs w:val="24"/>
          <w:lang w:eastAsia="zh-CN"/>
        </w:rPr>
        <w:t xml:space="preserve"> « programmation, évaluation et valorisation de la recherche »</w:t>
      </w:r>
    </w:p>
    <w:p w14:paraId="7F2CF9EE" w14:textId="1D6F52C8" w:rsidR="009D3805" w:rsidRDefault="009D3805" w:rsidP="009D3805">
      <w:pPr>
        <w:spacing w:after="0" w:line="240" w:lineRule="auto"/>
        <w:ind w:firstLine="708"/>
        <w:rPr>
          <w:rFonts w:ascii="Times New Roman" w:eastAsia="Times New Roman" w:hAnsi="Times New Roman"/>
          <w:szCs w:val="24"/>
          <w:lang w:eastAsia="zh-CN"/>
        </w:rPr>
      </w:pPr>
      <w:r w:rsidRPr="00AE017A">
        <w:rPr>
          <w:rFonts w:ascii="Times New Roman" w:eastAsia="Times New Roman" w:hAnsi="Times New Roman"/>
          <w:szCs w:val="24"/>
          <w:lang w:eastAsia="zh-CN"/>
        </w:rPr>
        <w:sym w:font="Wingdings" w:char="F0A8"/>
      </w:r>
      <w:r w:rsidRPr="00AE017A">
        <w:rPr>
          <w:rFonts w:ascii="Times New Roman" w:eastAsia="Times New Roman" w:hAnsi="Times New Roman"/>
          <w:szCs w:val="24"/>
          <w:lang w:eastAsia="zh-CN"/>
        </w:rPr>
        <w:t xml:space="preserve"> </w:t>
      </w:r>
      <w:proofErr w:type="gramStart"/>
      <w:r w:rsidRPr="00AE017A">
        <w:rPr>
          <w:rFonts w:ascii="Times New Roman" w:eastAsia="Times New Roman" w:hAnsi="Times New Roman"/>
          <w:szCs w:val="24"/>
          <w:lang w:eastAsia="zh-CN"/>
        </w:rPr>
        <w:t>discipline</w:t>
      </w:r>
      <w:proofErr w:type="gramEnd"/>
      <w:r w:rsidRPr="00AE017A">
        <w:rPr>
          <w:rFonts w:ascii="Times New Roman" w:eastAsia="Times New Roman" w:hAnsi="Times New Roman"/>
          <w:szCs w:val="24"/>
          <w:lang w:eastAsia="zh-CN"/>
        </w:rPr>
        <w:t xml:space="preserve"> « programmation, évaluation et valorisation de la recherche »</w:t>
      </w: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87"/>
        <w:gridCol w:w="10001"/>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33DB38C5"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La demande d’équivalence peut être accordée au titre du diplôme ou de l’expérience professionnelle. 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Pr="00376827" w:rsidRDefault="0023559E" w:rsidP="00AC702A">
            <w:pPr>
              <w:spacing w:after="0" w:line="240" w:lineRule="auto"/>
              <w:jc w:val="center"/>
              <w:rPr>
                <w:rFonts w:ascii="Arial" w:hAnsi="Arial" w:cs="Arial"/>
                <w:b/>
                <w:sz w:val="10"/>
                <w:szCs w:val="28"/>
                <w:bdr w:val="single" w:sz="12" w:space="0" w:color="auto"/>
              </w:rPr>
            </w:pPr>
          </w:p>
          <w:p w14:paraId="0CFAC419"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0B41B4B9" w14:textId="77777777" w:rsidR="0023559E" w:rsidRPr="009F4FA6" w:rsidRDefault="0023559E" w:rsidP="00AC702A">
            <w:pPr>
              <w:spacing w:after="0" w:line="240" w:lineRule="auto"/>
              <w:rPr>
                <w:rFonts w:ascii="Arial" w:hAnsi="Arial" w:cs="Arial"/>
                <w:sz w:val="10"/>
                <w:szCs w:val="20"/>
              </w:rPr>
            </w:pPr>
          </w:p>
          <w:p w14:paraId="72BED52D" w14:textId="77777777"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du diplôme:</w:t>
            </w:r>
          </w:p>
          <w:p w14:paraId="1E05137D" w14:textId="77777777" w:rsidR="0023559E" w:rsidRPr="00BC0E3C" w:rsidRDefault="0023559E" w:rsidP="00AC702A">
            <w:pPr>
              <w:spacing w:after="0" w:line="240" w:lineRule="auto"/>
              <w:rPr>
                <w:rFonts w:ascii="Arial" w:hAnsi="Arial" w:cs="Arial"/>
                <w:bCs/>
                <w:sz w:val="12"/>
                <w:szCs w:val="24"/>
              </w:rPr>
            </w:pPr>
          </w:p>
          <w:p w14:paraId="43C96ADE" w14:textId="77777777" w:rsidR="0023559E" w:rsidRPr="00D17E96" w:rsidRDefault="0023559E" w:rsidP="00AC702A">
            <w:pPr>
              <w:spacing w:after="0" w:line="240" w:lineRule="auto"/>
              <w:jc w:val="both"/>
              <w:rPr>
                <w:rFonts w:ascii="Arial" w:hAnsi="Arial" w:cs="Arial"/>
                <w:szCs w:val="20"/>
              </w:rPr>
            </w:pPr>
            <w:r w:rsidRPr="00BC0E3C">
              <w:rPr>
                <w:rFonts w:ascii="Arial" w:hAnsi="Arial" w:cs="Arial"/>
                <w:szCs w:val="20"/>
              </w:rPr>
              <w:t xml:space="preserve">- </w:t>
            </w:r>
            <w:r w:rsidRPr="00BC0E3C">
              <w:rPr>
                <w:rFonts w:ascii="Arial" w:hAnsi="Arial" w:cs="Arial"/>
                <w:b/>
                <w:szCs w:val="20"/>
              </w:rPr>
              <w:t>Le candidat détient un diplôme français</w:t>
            </w:r>
            <w:r w:rsidRPr="00BC0E3C">
              <w:rPr>
                <w:rFonts w:ascii="Arial" w:hAnsi="Arial" w:cs="Arial"/>
                <w:szCs w:val="20"/>
              </w:rPr>
              <w:t xml:space="preserve"> mais qui ne figure pas dans la liste suivante conformément à l’article 15 du décret n°85-1534 du 31 décembre 1985 fixant les dispositions statutaires applicables aux ingénieurs et aux personnels techniques et administratifs de recherche et de formation du ministère char</w:t>
            </w:r>
            <w:r>
              <w:rPr>
                <w:rFonts w:ascii="Arial" w:hAnsi="Arial" w:cs="Arial"/>
                <w:szCs w:val="20"/>
              </w:rPr>
              <w:t>gé de l'enseignement supérieur</w:t>
            </w:r>
            <w:r w:rsidRPr="00BC0E3C">
              <w:rPr>
                <w:rFonts w:ascii="Arial" w:hAnsi="Arial" w:cs="Arial"/>
                <w:szCs w:val="20"/>
              </w:rPr>
              <w:t xml:space="preserve">  :</w:t>
            </w:r>
          </w:p>
          <w:p w14:paraId="211592ED"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doctorat prévu à l'article L. 612-7 du code de l'éducation</w:t>
            </w:r>
          </w:p>
          <w:p w14:paraId="53B2647D" w14:textId="77777777" w:rsidR="0023559E" w:rsidRPr="00D17E96" w:rsidRDefault="0023559E" w:rsidP="00AC702A">
            <w:pPr>
              <w:pStyle w:val="NormalWeb"/>
              <w:shd w:val="clear" w:color="auto" w:fill="FFFFFF"/>
              <w:spacing w:before="0" w:beforeAutospacing="0" w:after="0"/>
              <w:ind w:left="567" w:right="34"/>
              <w:jc w:val="both"/>
              <w:rPr>
                <w:rFonts w:ascii="Arial" w:hAnsi="Arial" w:cs="Arial"/>
                <w:color w:val="000000"/>
                <w:sz w:val="18"/>
                <w:szCs w:val="18"/>
              </w:rPr>
            </w:pPr>
            <w:r>
              <w:rPr>
                <w:rFonts w:ascii="Arial" w:hAnsi="Arial" w:cs="Arial"/>
                <w:color w:val="000000"/>
                <w:sz w:val="18"/>
                <w:szCs w:val="18"/>
              </w:rPr>
              <w:t xml:space="preserve">- </w:t>
            </w:r>
            <w:r w:rsidRPr="00D17E96">
              <w:rPr>
                <w:rFonts w:ascii="Arial" w:hAnsi="Arial" w:cs="Arial"/>
                <w:color w:val="000000"/>
                <w:sz w:val="18"/>
                <w:szCs w:val="18"/>
              </w:rPr>
              <w:t>doctorat d'Etat ;</w:t>
            </w:r>
          </w:p>
          <w:p w14:paraId="7DC5F9CE"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professeur agrégé des lycées</w:t>
            </w:r>
          </w:p>
          <w:p w14:paraId="2F0D5158"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archiviste paléographe</w:t>
            </w:r>
          </w:p>
          <w:p w14:paraId="2CF65A09"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docteur ingénieur</w:t>
            </w:r>
          </w:p>
          <w:p w14:paraId="01E8E689"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docteur de troisième cycle</w:t>
            </w:r>
          </w:p>
          <w:p w14:paraId="5EE0D263"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diplôme d'ingénieur, délivré par une école nationale supérieure ou par une université ;</w:t>
            </w:r>
          </w:p>
          <w:p w14:paraId="71F3F7C8" w14:textId="77777777" w:rsidR="0023559E" w:rsidRPr="00D17E96" w:rsidRDefault="0023559E" w:rsidP="00AC702A">
            <w:pPr>
              <w:pStyle w:val="Paragraphedeliste"/>
              <w:spacing w:after="0" w:line="240" w:lineRule="auto"/>
              <w:ind w:left="567"/>
              <w:jc w:val="both"/>
              <w:rPr>
                <w:rFonts w:ascii="Arial" w:hAnsi="Arial" w:cs="Arial"/>
                <w:sz w:val="18"/>
                <w:szCs w:val="18"/>
              </w:rPr>
            </w:pPr>
            <w:r>
              <w:rPr>
                <w:rFonts w:ascii="Arial" w:hAnsi="Arial" w:cs="Arial"/>
                <w:color w:val="000000"/>
                <w:sz w:val="18"/>
                <w:szCs w:val="18"/>
              </w:rPr>
              <w:t xml:space="preserve">- </w:t>
            </w:r>
            <w:r w:rsidRPr="00D17E96">
              <w:rPr>
                <w:rFonts w:ascii="Arial" w:hAnsi="Arial" w:cs="Arial"/>
                <w:color w:val="000000"/>
                <w:sz w:val="18"/>
                <w:szCs w:val="18"/>
              </w:rPr>
              <w:t>diplôme d'ingénieur de grandes écoles de l'Etat ou des établissements assimilés, dont la liste est fixée par arrêté du ministre chargé de l'enseignement supérieur, du ministre chargé du budget et du ministre chargé de la fonction publique</w:t>
            </w:r>
          </w:p>
          <w:p w14:paraId="3775A001" w14:textId="77777777" w:rsidR="0023559E" w:rsidRPr="007F685C" w:rsidRDefault="0023559E" w:rsidP="00AC702A">
            <w:pPr>
              <w:pStyle w:val="Paragraphedeliste"/>
              <w:spacing w:after="0" w:line="240" w:lineRule="auto"/>
              <w:jc w:val="both"/>
              <w:rPr>
                <w:rFonts w:ascii="Arial" w:hAnsi="Arial" w:cs="Arial"/>
                <w:sz w:val="12"/>
                <w:szCs w:val="12"/>
              </w:rPr>
            </w:pPr>
          </w:p>
          <w:p w14:paraId="36881304" w14:textId="77777777" w:rsidR="0023559E" w:rsidRPr="00BC0E3C" w:rsidRDefault="0023559E" w:rsidP="00AC702A">
            <w:pPr>
              <w:spacing w:after="0" w:line="240" w:lineRule="auto"/>
              <w:jc w:val="both"/>
              <w:rPr>
                <w:rFonts w:ascii="Arial" w:hAnsi="Arial" w:cs="Arial"/>
                <w:szCs w:val="20"/>
              </w:rPr>
            </w:pPr>
            <w:r w:rsidRPr="00BC0E3C">
              <w:rPr>
                <w:rFonts w:ascii="Arial" w:hAnsi="Arial" w:cs="Arial"/>
                <w:szCs w:val="20"/>
              </w:rPr>
              <w:t xml:space="preserve">- </w:t>
            </w:r>
            <w:r w:rsidRPr="00BC0E3C">
              <w:rPr>
                <w:rFonts w:ascii="Arial" w:hAnsi="Arial" w:cs="Arial"/>
                <w:b/>
                <w:szCs w:val="20"/>
              </w:rPr>
              <w:t xml:space="preserve">Le candidat détient un diplôme </w:t>
            </w:r>
            <w:r>
              <w:rPr>
                <w:rFonts w:ascii="Arial" w:hAnsi="Arial" w:cs="Arial"/>
                <w:b/>
                <w:szCs w:val="20"/>
              </w:rPr>
              <w:t xml:space="preserve">universitaire </w:t>
            </w:r>
            <w:r w:rsidRPr="00BC0E3C">
              <w:rPr>
                <w:rFonts w:ascii="Arial" w:hAnsi="Arial" w:cs="Arial"/>
                <w:b/>
                <w:szCs w:val="20"/>
              </w:rPr>
              <w:t>obtenu dans un Etat de l’Union européenne</w:t>
            </w:r>
            <w:r w:rsidRPr="00BC0E3C">
              <w:rPr>
                <w:rFonts w:ascii="Arial" w:hAnsi="Arial" w:cs="Arial"/>
                <w:szCs w:val="20"/>
              </w:rPr>
              <w:t xml:space="preserve">, </w:t>
            </w:r>
          </w:p>
          <w:p w14:paraId="1D4E5354" w14:textId="77777777" w:rsidR="0023559E" w:rsidRPr="00BC0E3C" w:rsidRDefault="0023559E" w:rsidP="00AC702A">
            <w:pPr>
              <w:spacing w:after="0" w:line="240" w:lineRule="auto"/>
              <w:jc w:val="both"/>
              <w:rPr>
                <w:rFonts w:ascii="Arial" w:hAnsi="Arial" w:cs="Arial"/>
                <w:sz w:val="10"/>
                <w:szCs w:val="20"/>
              </w:rPr>
            </w:pPr>
          </w:p>
          <w:p w14:paraId="60DF6CF2" w14:textId="77777777" w:rsidR="0023559E" w:rsidRPr="007F685C" w:rsidRDefault="0023559E" w:rsidP="00AC702A">
            <w:pPr>
              <w:spacing w:after="0" w:line="240" w:lineRule="auto"/>
              <w:rPr>
                <w:rFonts w:ascii="Arial" w:hAnsi="Arial" w:cs="Arial"/>
                <w:b/>
                <w:szCs w:val="20"/>
              </w:rPr>
            </w:pPr>
            <w:r w:rsidRPr="00BC0E3C">
              <w:rPr>
                <w:rFonts w:ascii="Arial" w:hAnsi="Arial" w:cs="Arial"/>
                <w:bCs/>
                <w:szCs w:val="20"/>
              </w:rPr>
              <w:t xml:space="preserve">- </w:t>
            </w:r>
            <w:r w:rsidRPr="00BC0E3C">
              <w:rPr>
                <w:rFonts w:ascii="Arial" w:hAnsi="Arial" w:cs="Arial"/>
                <w:b/>
                <w:szCs w:val="20"/>
              </w:rPr>
              <w:t xml:space="preserve">Le candidat détient un diplôme universitaire étranger obtenu dans un pays extérieur à l’Union européenne. </w:t>
            </w:r>
          </w:p>
          <w:p w14:paraId="766358ED" w14:textId="77777777" w:rsidR="0023559E" w:rsidRDefault="00EB56F0"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Pr="009F4FA6"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65538E9"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ne détient pas de diplôme,</w:t>
            </w:r>
          </w:p>
          <w:p w14:paraId="1E7531C4"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détient un diplôme de niveau inférieur à celui requis</w:t>
            </w:r>
            <w:r>
              <w:rPr>
                <w:rFonts w:ascii="Arial" w:hAnsi="Arial" w:cs="Arial"/>
                <w:bCs/>
                <w:sz w:val="22"/>
              </w:rPr>
              <w:t>,</w:t>
            </w:r>
          </w:p>
          <w:p w14:paraId="1102EDFE" w14:textId="77777777" w:rsidR="0023559E"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Pr="00BF68C7" w:rsidRDefault="0023559E" w:rsidP="00AC702A">
            <w:pPr>
              <w:spacing w:after="0" w:line="240" w:lineRule="auto"/>
              <w:jc w:val="both"/>
              <w:rPr>
                <w:rFonts w:ascii="Arial" w:hAnsi="Arial" w:cs="Arial"/>
                <w:bCs/>
                <w:sz w:val="10"/>
              </w:rPr>
            </w:pPr>
          </w:p>
          <w:p w14:paraId="5F94A39B" w14:textId="77777777" w:rsidR="0023559E" w:rsidRPr="0001440A" w:rsidRDefault="0023559E" w:rsidP="00AC702A">
            <w:pPr>
              <w:spacing w:after="0" w:line="240" w:lineRule="auto"/>
              <w:jc w:val="both"/>
              <w:rPr>
                <w:rFonts w:ascii="Arial" w:hAnsi="Arial" w:cs="Arial"/>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ingénieurs de recherche, </w:t>
            </w:r>
            <w:r w:rsidRPr="008C7C98">
              <w:rPr>
                <w:rFonts w:ascii="Arial" w:hAnsi="Arial" w:cs="Arial"/>
                <w:bCs/>
              </w:rPr>
              <w:t>il est nécessaire de faire une demande d’équivalence au titre de la qualification professionnelle</w:t>
            </w:r>
            <w:r>
              <w:rPr>
                <w:rFonts w:ascii="Arial" w:hAnsi="Arial" w:cs="Arial"/>
                <w:bCs/>
              </w:rPr>
              <w:t>.</w:t>
            </w: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w:t>
            </w:r>
            <w:proofErr w:type="gramStart"/>
            <w:r w:rsidRPr="00376827">
              <w:rPr>
                <w:rFonts w:ascii="Arial" w:hAnsi="Arial" w:cs="Arial"/>
                <w:b/>
                <w:szCs w:val="28"/>
              </w:rPr>
              <w:t>autorisé</w:t>
            </w:r>
            <w:proofErr w:type="gramEnd"/>
            <w:r w:rsidRPr="00376827">
              <w:rPr>
                <w:rFonts w:ascii="Arial" w:hAnsi="Arial" w:cs="Arial"/>
                <w:b/>
                <w:szCs w:val="28"/>
              </w:rPr>
              <w:t xml:space="preserve">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988"/>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r w:rsidRPr="00FC7FCD">
              <w:rPr>
                <w:rFonts w:ascii="Arial" w:hAnsi="Arial" w:cs="Arial"/>
                <w:sz w:val="20"/>
                <w:szCs w:val="20"/>
              </w:rPr>
              <w:t>Concours n° : .....................................</w:t>
            </w:r>
            <w:r>
              <w:rPr>
                <w:rFonts w:ascii="Arial" w:hAnsi="Arial" w:cs="Arial"/>
                <w:sz w:val="20"/>
                <w:szCs w:val="20"/>
              </w:rPr>
              <w:t>...............................</w:t>
            </w:r>
          </w:p>
          <w:p w14:paraId="3CBF2027"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B415635"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Corps :.....................................BAP </w:t>
            </w:r>
            <w:r>
              <w:rPr>
                <w:rFonts w:ascii="Arial" w:hAnsi="Arial" w:cs="Arial"/>
                <w:sz w:val="20"/>
                <w:szCs w:val="20"/>
              </w:rPr>
              <w:t>:...........................</w:t>
            </w:r>
            <w:r w:rsidRPr="00FC7FCD">
              <w:rPr>
                <w:rFonts w:ascii="Arial" w:hAnsi="Arial" w:cs="Arial"/>
                <w:sz w:val="20"/>
                <w:szCs w:val="20"/>
              </w:rPr>
              <w:t>......Emploi-type : .................................................</w:t>
            </w:r>
            <w:r>
              <w:rPr>
                <w:rFonts w:ascii="Arial" w:hAnsi="Arial" w:cs="Arial"/>
                <w:sz w:val="20"/>
                <w:szCs w:val="20"/>
              </w:rPr>
              <w:t>.....................</w:t>
            </w:r>
          </w:p>
          <w:p w14:paraId="6494E127" w14:textId="77777777"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110"/>
              <w:gridCol w:w="9662"/>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77777777"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3058"/>
              <w:gridCol w:w="3907"/>
              <w:gridCol w:w="2430"/>
              <w:gridCol w:w="1367"/>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3"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4"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w:t>
                  </w:r>
                  <w:proofErr w:type="spellStart"/>
                  <w:r w:rsidRPr="00CD5E88">
                    <w:rPr>
                      <w:rFonts w:ascii="Arial" w:hAnsi="Arial" w:cs="Arial"/>
                      <w:b/>
                      <w:sz w:val="20"/>
                      <w:szCs w:val="20"/>
                    </w:rPr>
                    <w:t>Journault</w:t>
                  </w:r>
                  <w:proofErr w:type="spellEnd"/>
                </w:p>
                <w:p w14:paraId="75150245" w14:textId="77777777"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92318 SEVRES 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7777777" w:rsidR="0023559E" w:rsidRDefault="0023559E" w:rsidP="00AC702A">
            <w:pPr>
              <w:spacing w:after="0" w:line="240" w:lineRule="auto"/>
              <w:rPr>
                <w:rFonts w:ascii="Arial" w:hAnsi="Arial" w:cs="Arial"/>
                <w:caps/>
                <w:color w:val="FFFFFF" w:themeColor="background1"/>
                <w:sz w:val="20"/>
                <w:szCs w:val="20"/>
              </w:rPr>
            </w:pPr>
          </w:p>
          <w:p w14:paraId="433CC334" w14:textId="77777777"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77777777"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4946B114" w14:textId="77777777" w:rsidR="0023559E" w:rsidRDefault="0023559E" w:rsidP="00AC702A">
            <w:pPr>
              <w:spacing w:after="0" w:line="240" w:lineRule="auto"/>
              <w:rPr>
                <w:rFonts w:ascii="Arial" w:hAnsi="Arial" w:cs="Arial"/>
                <w:caps/>
                <w:color w:val="FFFFFF" w:themeColor="background1"/>
                <w:sz w:val="20"/>
                <w:szCs w:val="20"/>
              </w:rPr>
            </w:pP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14:paraId="65AB884E" w14:textId="77777777" w:rsidTr="00AC702A">
              <w:tc>
                <w:tcPr>
                  <w:tcW w:w="2547" w:type="dxa"/>
                  <w:shd w:val="clear" w:color="auto" w:fill="8DB3E2" w:themeFill="text2" w:themeFillTint="66"/>
                  <w:vAlign w:val="center"/>
                </w:tcPr>
                <w:p w14:paraId="38041D7D" w14:textId="77777777" w:rsidR="0023559E" w:rsidRPr="00AA3175" w:rsidRDefault="0023559E" w:rsidP="00AC702A">
                  <w:pPr>
                    <w:spacing w:after="0" w:line="240" w:lineRule="auto"/>
                    <w:jc w:val="center"/>
                    <w:rPr>
                      <w:rFonts w:ascii="Arial" w:hAnsi="Arial" w:cs="Arial"/>
                      <w:sz w:val="16"/>
                      <w:szCs w:val="16"/>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10EC1A5B"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4CBBD5A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D000ACF"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14:paraId="1F2A594D" w14:textId="77777777" w:rsidTr="00AC702A">
              <w:trPr>
                <w:trHeight w:val="1247"/>
              </w:trPr>
              <w:tc>
                <w:tcPr>
                  <w:tcW w:w="2547" w:type="dxa"/>
                  <w:shd w:val="clear" w:color="auto" w:fill="FFFFFF" w:themeFill="background1"/>
                </w:tcPr>
                <w:p w14:paraId="009901C4"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08E55F20"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627EF477" w14:textId="77777777" w:rsidR="0023559E" w:rsidRPr="00372AFF" w:rsidRDefault="0023559E" w:rsidP="00AC702A">
                  <w:pPr>
                    <w:spacing w:after="0" w:line="240" w:lineRule="auto"/>
                    <w:ind w:right="-286"/>
                    <w:rPr>
                      <w:rFonts w:ascii="Arial" w:hAnsi="Arial" w:cs="Arial"/>
                      <w:szCs w:val="24"/>
                    </w:rPr>
                  </w:pPr>
                </w:p>
              </w:tc>
              <w:tc>
                <w:tcPr>
                  <w:tcW w:w="1242" w:type="dxa"/>
                  <w:shd w:val="clear" w:color="auto" w:fill="FFFFFF" w:themeFill="background1"/>
                </w:tcPr>
                <w:p w14:paraId="3B755428" w14:textId="77777777" w:rsidR="0023559E" w:rsidRPr="00372AFF" w:rsidRDefault="0023559E" w:rsidP="00AC702A">
                  <w:pPr>
                    <w:spacing w:after="0" w:line="240" w:lineRule="auto"/>
                    <w:ind w:right="-284"/>
                    <w:rPr>
                      <w:rFonts w:ascii="Arial" w:hAnsi="Arial" w:cs="Arial"/>
                      <w:szCs w:val="24"/>
                    </w:rPr>
                  </w:pPr>
                </w:p>
              </w:tc>
            </w:tr>
          </w:tbl>
          <w:p w14:paraId="36B09F7D" w14:textId="77777777" w:rsidR="0023559E" w:rsidRDefault="0023559E" w:rsidP="00AC702A">
            <w:pPr>
              <w:spacing w:after="0" w:line="240" w:lineRule="auto"/>
              <w:rPr>
                <w:rFonts w:ascii="Arial" w:hAnsi="Arial" w:cs="Arial"/>
                <w:caps/>
                <w:color w:val="FFFFFF" w:themeColor="background1"/>
                <w:sz w:val="20"/>
                <w:szCs w:val="20"/>
              </w:rPr>
            </w:pPr>
          </w:p>
          <w:p w14:paraId="30E340F3" w14:textId="62FC66E2" w:rsidR="0023559E" w:rsidRDefault="0023559E"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E49EC" w14:textId="77777777" w:rsidR="00EB56F0" w:rsidRDefault="00EB56F0" w:rsidP="00667402">
      <w:pPr>
        <w:spacing w:after="0" w:line="240" w:lineRule="auto"/>
      </w:pPr>
      <w:r>
        <w:separator/>
      </w:r>
    </w:p>
  </w:endnote>
  <w:endnote w:type="continuationSeparator" w:id="0">
    <w:p w14:paraId="60DC00CE" w14:textId="77777777" w:rsidR="00EB56F0" w:rsidRDefault="00EB56F0"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F887A" w14:textId="77777777" w:rsidR="00EB56F0" w:rsidRDefault="00EB56F0" w:rsidP="00667402">
      <w:pPr>
        <w:spacing w:after="0" w:line="240" w:lineRule="auto"/>
      </w:pPr>
      <w:r>
        <w:separator/>
      </w:r>
    </w:p>
  </w:footnote>
  <w:footnote w:type="continuationSeparator" w:id="0">
    <w:p w14:paraId="19754D81" w14:textId="77777777" w:rsidR="00EB56F0" w:rsidRDefault="00EB56F0" w:rsidP="00667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8E"/>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DFA"/>
    <w:rsid w:val="000D7060"/>
    <w:rsid w:val="000E2D41"/>
    <w:rsid w:val="000E5413"/>
    <w:rsid w:val="000F3F2B"/>
    <w:rsid w:val="0010366D"/>
    <w:rsid w:val="00103B10"/>
    <w:rsid w:val="001040BF"/>
    <w:rsid w:val="001051A2"/>
    <w:rsid w:val="00106922"/>
    <w:rsid w:val="00107658"/>
    <w:rsid w:val="00111EF0"/>
    <w:rsid w:val="00112338"/>
    <w:rsid w:val="00112738"/>
    <w:rsid w:val="00115C1F"/>
    <w:rsid w:val="00124550"/>
    <w:rsid w:val="00140127"/>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C062F"/>
    <w:rsid w:val="002C57D2"/>
    <w:rsid w:val="002E080E"/>
    <w:rsid w:val="002E0E99"/>
    <w:rsid w:val="002E5555"/>
    <w:rsid w:val="002F4595"/>
    <w:rsid w:val="00301DDB"/>
    <w:rsid w:val="00303D0E"/>
    <w:rsid w:val="003179BD"/>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7176C"/>
    <w:rsid w:val="004721AC"/>
    <w:rsid w:val="00472A68"/>
    <w:rsid w:val="004730CC"/>
    <w:rsid w:val="00474311"/>
    <w:rsid w:val="004822CC"/>
    <w:rsid w:val="00490AD0"/>
    <w:rsid w:val="004942F1"/>
    <w:rsid w:val="004A14A6"/>
    <w:rsid w:val="004A546E"/>
    <w:rsid w:val="004B25E1"/>
    <w:rsid w:val="004B78FE"/>
    <w:rsid w:val="004C2B4B"/>
    <w:rsid w:val="004C5882"/>
    <w:rsid w:val="004D7FC2"/>
    <w:rsid w:val="004E0943"/>
    <w:rsid w:val="004E4D0B"/>
    <w:rsid w:val="004E57F3"/>
    <w:rsid w:val="004F0480"/>
    <w:rsid w:val="004F2F6A"/>
    <w:rsid w:val="00503BD1"/>
    <w:rsid w:val="00503DE6"/>
    <w:rsid w:val="00520181"/>
    <w:rsid w:val="00520B06"/>
    <w:rsid w:val="00526A6C"/>
    <w:rsid w:val="00526EA0"/>
    <w:rsid w:val="005325E8"/>
    <w:rsid w:val="00532F67"/>
    <w:rsid w:val="00546436"/>
    <w:rsid w:val="005633A1"/>
    <w:rsid w:val="005730BC"/>
    <w:rsid w:val="00574AE2"/>
    <w:rsid w:val="0059407F"/>
    <w:rsid w:val="00595930"/>
    <w:rsid w:val="00595E55"/>
    <w:rsid w:val="005B51CF"/>
    <w:rsid w:val="005C41A6"/>
    <w:rsid w:val="005C78B8"/>
    <w:rsid w:val="005D3BD2"/>
    <w:rsid w:val="005D40D6"/>
    <w:rsid w:val="005E6CA3"/>
    <w:rsid w:val="005E7E78"/>
    <w:rsid w:val="005F0453"/>
    <w:rsid w:val="005F0C7C"/>
    <w:rsid w:val="00600A2E"/>
    <w:rsid w:val="006101E4"/>
    <w:rsid w:val="006111E8"/>
    <w:rsid w:val="00623299"/>
    <w:rsid w:val="006274BF"/>
    <w:rsid w:val="00635E91"/>
    <w:rsid w:val="00650466"/>
    <w:rsid w:val="0065577C"/>
    <w:rsid w:val="0066359C"/>
    <w:rsid w:val="00667402"/>
    <w:rsid w:val="00670295"/>
    <w:rsid w:val="00671941"/>
    <w:rsid w:val="0069048E"/>
    <w:rsid w:val="006A0406"/>
    <w:rsid w:val="006A177F"/>
    <w:rsid w:val="006A4713"/>
    <w:rsid w:val="006B0B77"/>
    <w:rsid w:val="006B60F5"/>
    <w:rsid w:val="006C7967"/>
    <w:rsid w:val="006E3ACC"/>
    <w:rsid w:val="006F723A"/>
    <w:rsid w:val="0070277C"/>
    <w:rsid w:val="007072ED"/>
    <w:rsid w:val="00710408"/>
    <w:rsid w:val="00714598"/>
    <w:rsid w:val="00715E28"/>
    <w:rsid w:val="007230F4"/>
    <w:rsid w:val="00733344"/>
    <w:rsid w:val="00736361"/>
    <w:rsid w:val="00747554"/>
    <w:rsid w:val="0075372A"/>
    <w:rsid w:val="00755B35"/>
    <w:rsid w:val="00761148"/>
    <w:rsid w:val="00761A7F"/>
    <w:rsid w:val="00762103"/>
    <w:rsid w:val="00766AF0"/>
    <w:rsid w:val="007722B1"/>
    <w:rsid w:val="00773401"/>
    <w:rsid w:val="00775AD7"/>
    <w:rsid w:val="0078125D"/>
    <w:rsid w:val="0078150B"/>
    <w:rsid w:val="007927DA"/>
    <w:rsid w:val="007A4C26"/>
    <w:rsid w:val="007A6C8E"/>
    <w:rsid w:val="007A7535"/>
    <w:rsid w:val="007B0124"/>
    <w:rsid w:val="007B352F"/>
    <w:rsid w:val="007B6EFC"/>
    <w:rsid w:val="007C4B9E"/>
    <w:rsid w:val="007D1030"/>
    <w:rsid w:val="007D144A"/>
    <w:rsid w:val="007D514A"/>
    <w:rsid w:val="007E1F89"/>
    <w:rsid w:val="007E447B"/>
    <w:rsid w:val="007F3737"/>
    <w:rsid w:val="007F4D97"/>
    <w:rsid w:val="007F67B0"/>
    <w:rsid w:val="00805363"/>
    <w:rsid w:val="008101B2"/>
    <w:rsid w:val="008103A0"/>
    <w:rsid w:val="008145FD"/>
    <w:rsid w:val="00825DE0"/>
    <w:rsid w:val="00837814"/>
    <w:rsid w:val="00837956"/>
    <w:rsid w:val="008401E2"/>
    <w:rsid w:val="008455E4"/>
    <w:rsid w:val="0085141B"/>
    <w:rsid w:val="008553BE"/>
    <w:rsid w:val="00857D5B"/>
    <w:rsid w:val="00863E94"/>
    <w:rsid w:val="008813F5"/>
    <w:rsid w:val="00896577"/>
    <w:rsid w:val="008A0FD6"/>
    <w:rsid w:val="008B1BE4"/>
    <w:rsid w:val="008C0138"/>
    <w:rsid w:val="008C273B"/>
    <w:rsid w:val="008C3ACF"/>
    <w:rsid w:val="008C496C"/>
    <w:rsid w:val="008C53EC"/>
    <w:rsid w:val="008D243F"/>
    <w:rsid w:val="008E2D01"/>
    <w:rsid w:val="008E5945"/>
    <w:rsid w:val="008E7183"/>
    <w:rsid w:val="008F1CFD"/>
    <w:rsid w:val="008F3CAA"/>
    <w:rsid w:val="009022F6"/>
    <w:rsid w:val="009107A5"/>
    <w:rsid w:val="009109B3"/>
    <w:rsid w:val="00913435"/>
    <w:rsid w:val="00913CD6"/>
    <w:rsid w:val="00914CB9"/>
    <w:rsid w:val="00915761"/>
    <w:rsid w:val="0092262D"/>
    <w:rsid w:val="00933212"/>
    <w:rsid w:val="0095310D"/>
    <w:rsid w:val="009551D9"/>
    <w:rsid w:val="00955ECD"/>
    <w:rsid w:val="00972A9B"/>
    <w:rsid w:val="00977F5D"/>
    <w:rsid w:val="009829F3"/>
    <w:rsid w:val="009A0529"/>
    <w:rsid w:val="009A13CF"/>
    <w:rsid w:val="009B5F43"/>
    <w:rsid w:val="009C13F8"/>
    <w:rsid w:val="009C4354"/>
    <w:rsid w:val="009C4A3B"/>
    <w:rsid w:val="009D3805"/>
    <w:rsid w:val="009E5A01"/>
    <w:rsid w:val="009E5A05"/>
    <w:rsid w:val="009F05DA"/>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2E2B"/>
    <w:rsid w:val="00AE53ED"/>
    <w:rsid w:val="00AF3AFC"/>
    <w:rsid w:val="00AF5363"/>
    <w:rsid w:val="00B027BF"/>
    <w:rsid w:val="00B140AF"/>
    <w:rsid w:val="00B20110"/>
    <w:rsid w:val="00B20371"/>
    <w:rsid w:val="00B227E5"/>
    <w:rsid w:val="00B251D4"/>
    <w:rsid w:val="00B264B3"/>
    <w:rsid w:val="00B3572A"/>
    <w:rsid w:val="00B421A0"/>
    <w:rsid w:val="00B42952"/>
    <w:rsid w:val="00B5207C"/>
    <w:rsid w:val="00B560EB"/>
    <w:rsid w:val="00B60690"/>
    <w:rsid w:val="00B6573A"/>
    <w:rsid w:val="00B717F3"/>
    <w:rsid w:val="00B73AC4"/>
    <w:rsid w:val="00B76200"/>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C1530D"/>
    <w:rsid w:val="00C15D32"/>
    <w:rsid w:val="00C22027"/>
    <w:rsid w:val="00C27C4F"/>
    <w:rsid w:val="00C30AB1"/>
    <w:rsid w:val="00C33DA1"/>
    <w:rsid w:val="00C355B3"/>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52EBC"/>
    <w:rsid w:val="00D549F9"/>
    <w:rsid w:val="00D55879"/>
    <w:rsid w:val="00D56D0C"/>
    <w:rsid w:val="00D60595"/>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AFB"/>
    <w:rsid w:val="00EA7238"/>
    <w:rsid w:val="00EB43FA"/>
    <w:rsid w:val="00EB56F0"/>
    <w:rsid w:val="00EB5FFD"/>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42B65"/>
    <w:rsid w:val="00F50429"/>
    <w:rsid w:val="00F57757"/>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9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ep.fr/enic-naricfr/traduction.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xacyc.orion.education.fr/cyccandidat/portal/accueil?codeER=&amp;domain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iep.fr/enic-naric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9735-0AD3-470E-9E4B-B3C4F46C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aurelie.dumont</dc:creator>
  <cp:lastModifiedBy>beauvallet</cp:lastModifiedBy>
  <cp:revision>2</cp:revision>
  <cp:lastPrinted>2017-08-31T09:03:00Z</cp:lastPrinted>
  <dcterms:created xsi:type="dcterms:W3CDTF">2020-11-20T17:36:00Z</dcterms:created>
  <dcterms:modified xsi:type="dcterms:W3CDTF">2020-11-20T17:36:00Z</dcterms:modified>
</cp:coreProperties>
</file>